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54" w:rsidRDefault="008A16F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EC0E54" w:rsidRDefault="008A16F2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EC0E54" w:rsidRDefault="008A16F2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 Батайска</w:t>
      </w:r>
    </w:p>
    <w:p w:rsidR="00EC0E54" w:rsidRDefault="008A16F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097406">
        <w:rPr>
          <w:sz w:val="22"/>
          <w:szCs w:val="22"/>
        </w:rPr>
        <w:t>16.02.</w:t>
      </w:r>
      <w:r>
        <w:rPr>
          <w:sz w:val="22"/>
          <w:szCs w:val="22"/>
        </w:rPr>
        <w:t>2017</w:t>
      </w:r>
      <w:r w:rsidR="0009740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  № </w:t>
      </w:r>
      <w:r w:rsidR="00097406">
        <w:rPr>
          <w:sz w:val="22"/>
          <w:szCs w:val="22"/>
        </w:rPr>
        <w:t>201</w:t>
      </w:r>
    </w:p>
    <w:p w:rsidR="00EC0E54" w:rsidRDefault="00EC0E54">
      <w:pPr>
        <w:widowControl w:val="0"/>
        <w:spacing w:line="228" w:lineRule="auto"/>
        <w:jc w:val="both"/>
        <w:rPr>
          <w:sz w:val="28"/>
          <w:szCs w:val="28"/>
        </w:rPr>
      </w:pPr>
    </w:p>
    <w:p w:rsidR="00EC0E54" w:rsidRDefault="008A16F2">
      <w:pPr>
        <w:widowControl w:val="0"/>
        <w:tabs>
          <w:tab w:val="left" w:pos="7275"/>
        </w:tabs>
        <w:spacing w:before="240" w:line="360" w:lineRule="auto"/>
        <w:ind w:left="45" w:hanging="300"/>
        <w:jc w:val="center"/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Изменения, вносимые в постановление Администрации города Батайска </w:t>
      </w:r>
    </w:p>
    <w:p w:rsidR="00EC0E54" w:rsidRDefault="008A16F2">
      <w:pPr>
        <w:widowControl w:val="0"/>
        <w:tabs>
          <w:tab w:val="left" w:pos="7275"/>
        </w:tabs>
        <w:spacing w:line="360" w:lineRule="auto"/>
        <w:ind w:left="45" w:hanging="300"/>
        <w:jc w:val="center"/>
        <w:rPr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от 29.10.2014 № 2697 план </w:t>
      </w:r>
      <w:r>
        <w:rPr>
          <w:b/>
          <w:sz w:val="24"/>
          <w:szCs w:val="24"/>
        </w:rPr>
        <w:t>мероприятий («дорожная карта») «Изменения в отраслях социальной сферы, направленные на повышение эффективности сферы культуры в  муниципальном образовании «Город Батайск»</w:t>
      </w:r>
    </w:p>
    <w:p w:rsidR="00EC0E54" w:rsidRDefault="00EC0E54">
      <w:pPr>
        <w:widowControl w:val="0"/>
        <w:spacing w:line="228" w:lineRule="auto"/>
        <w:jc w:val="center"/>
        <w:rPr>
          <w:sz w:val="24"/>
          <w:szCs w:val="24"/>
        </w:rPr>
      </w:pPr>
    </w:p>
    <w:p w:rsidR="00EC0E54" w:rsidRDefault="008A16F2">
      <w:pPr>
        <w:pStyle w:val="10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4.  Мероприятия по совершенствованию оплаты п. 4.2. изложить в следующей редакции:</w:t>
      </w:r>
    </w:p>
    <w:p w:rsidR="00EC0E54" w:rsidRDefault="00EC0E54">
      <w:pPr>
        <w:pStyle w:val="10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E54" w:rsidRDefault="008A16F2">
      <w:pPr>
        <w:pStyle w:val="10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Показателями (индикаторами), характеризующими эффективность мероприятий по совершенствованию оплаты труда работников учреждений культуры, являются: </w:t>
      </w:r>
    </w:p>
    <w:p w:rsidR="00EC0E54" w:rsidRDefault="00EC0E54">
      <w:pPr>
        <w:pStyle w:val="af0"/>
        <w:widowControl w:val="0"/>
        <w:ind w:left="1069"/>
        <w:rPr>
          <w:sz w:val="24"/>
          <w:szCs w:val="24"/>
        </w:rPr>
      </w:pPr>
    </w:p>
    <w:p w:rsidR="00EC0E54" w:rsidRDefault="008A16F2">
      <w:pPr>
        <w:pStyle w:val="10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4.2.1. Динамика примерных (индикативных) значений соотношения средней заработной платы работников учреждений культуры, повышение оплаты труда которых предусмотрено Указом Президента Российской </w:t>
      </w:r>
      <w:r>
        <w:rPr>
          <w:rFonts w:ascii="Times New Roman" w:hAnsi="Times New Roman"/>
          <w:spacing w:val="-4"/>
          <w:sz w:val="24"/>
          <w:szCs w:val="24"/>
        </w:rPr>
        <w:t>Федерации от 07.05.2012 № 597 «О мероприятиях по реализации государственной</w:t>
      </w:r>
      <w:r>
        <w:rPr>
          <w:rFonts w:ascii="Times New Roman" w:hAnsi="Times New Roman"/>
          <w:sz w:val="24"/>
          <w:szCs w:val="24"/>
        </w:rPr>
        <w:t xml:space="preserve"> социальной политики», и средней заработной платы в Ростовской области:</w:t>
      </w:r>
    </w:p>
    <w:p w:rsidR="00EC0E54" w:rsidRDefault="00EC0E54">
      <w:pPr>
        <w:pStyle w:val="1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C0E54" w:rsidRDefault="008A16F2">
      <w:pPr>
        <w:pStyle w:val="10"/>
        <w:widowControl w:val="0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(процентов)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7" w:type="dxa"/>
          <w:right w:w="57" w:type="dxa"/>
        </w:tblCellMar>
        <w:tblLook w:val="04A0"/>
      </w:tblPr>
      <w:tblGrid>
        <w:gridCol w:w="1708"/>
        <w:gridCol w:w="1708"/>
        <w:gridCol w:w="1462"/>
        <w:gridCol w:w="1462"/>
        <w:gridCol w:w="1693"/>
        <w:gridCol w:w="2134"/>
      </w:tblGrid>
      <w:tr w:rsidR="00EC0E54"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2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EC0E54">
        <w:trPr>
          <w:trHeight w:val="70"/>
        </w:trPr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2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EC0E54" w:rsidRDefault="00EC0E54">
      <w:pPr>
        <w:pStyle w:val="1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C0E54" w:rsidRDefault="008A16F2">
      <w:pPr>
        <w:pStyle w:val="10"/>
        <w:widowControl w:val="0"/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 Среднемесячная заработная плата работников муниципальных учреждений культуры:</w:t>
      </w:r>
    </w:p>
    <w:p w:rsidR="00EC0E54" w:rsidRDefault="00EC0E54">
      <w:pPr>
        <w:pStyle w:val="10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C0E54" w:rsidRDefault="008A16F2">
      <w:pPr>
        <w:pStyle w:val="10"/>
        <w:widowControl w:val="0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(рублей)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7" w:type="dxa"/>
          <w:right w:w="57" w:type="dxa"/>
        </w:tblCellMar>
        <w:tblLook w:val="04A0"/>
      </w:tblPr>
      <w:tblGrid>
        <w:gridCol w:w="1724"/>
        <w:gridCol w:w="1724"/>
        <w:gridCol w:w="1506"/>
        <w:gridCol w:w="1506"/>
        <w:gridCol w:w="1532"/>
        <w:gridCol w:w="2175"/>
      </w:tblGrid>
      <w:tr w:rsidR="00EC0E54"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2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EC0E54"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14065,3</w:t>
            </w:r>
          </w:p>
        </w:tc>
        <w:tc>
          <w:tcPr>
            <w:tcW w:w="2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16948,1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17360,1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19417,1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22650</w:t>
            </w: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EC0E54" w:rsidRDefault="008A16F2">
            <w:pPr>
              <w:pStyle w:val="10"/>
              <w:widowControl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26752,2</w:t>
            </w:r>
          </w:p>
        </w:tc>
      </w:tr>
    </w:tbl>
    <w:p w:rsidR="00EC0E54" w:rsidRDefault="00EC0E54">
      <w:pPr>
        <w:jc w:val="center"/>
        <w:rPr>
          <w:b/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  <w:sectPr w:rsidR="002C284F" w:rsidSect="002C284F">
          <w:footerReference w:type="default" r:id="rId8"/>
          <w:pgSz w:w="11906" w:h="16838"/>
          <w:pgMar w:top="851" w:right="1134" w:bottom="1304" w:left="709" w:header="0" w:footer="720" w:gutter="0"/>
          <w:cols w:space="720"/>
          <w:formProt w:val="0"/>
          <w:docGrid w:linePitch="272" w:charSpace="2047"/>
        </w:sectPr>
      </w:pPr>
    </w:p>
    <w:p w:rsidR="00986360" w:rsidRDefault="00986360" w:rsidP="00986360">
      <w:pPr>
        <w:pStyle w:val="af0"/>
        <w:tabs>
          <w:tab w:val="left" w:pos="15942"/>
          <w:tab w:val="left" w:pos="17062"/>
          <w:tab w:val="left" w:pos="19837"/>
          <w:tab w:val="left" w:pos="20690"/>
        </w:tabs>
        <w:ind w:left="0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2. Приложение к Плану мероприятий («дорожной карты») «Изменения в отраслях социальной сферы, направленные на повышение эффективности сферы культуры города Батайска» изложить в следующей редакции:</w:t>
      </w: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2C284F" w:rsidRDefault="002C284F">
      <w:pPr>
        <w:jc w:val="center"/>
        <w:rPr>
          <w:bCs/>
          <w:color w:val="000000"/>
          <w:sz w:val="24"/>
          <w:szCs w:val="24"/>
        </w:rPr>
      </w:pPr>
    </w:p>
    <w:p w:rsidR="00EC0E54" w:rsidRDefault="008A16F2">
      <w:pPr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ПОКАЗАТЕЛИ </w:t>
      </w:r>
    </w:p>
    <w:p w:rsidR="00EC0E54" w:rsidRDefault="008A16F2">
      <w:pPr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нормативов  «дорожной карты» города Батайска </w:t>
      </w:r>
    </w:p>
    <w:p w:rsidR="00EC0E54" w:rsidRDefault="00EC0E54">
      <w:pPr>
        <w:rPr>
          <w:sz w:val="24"/>
          <w:szCs w:val="24"/>
        </w:rPr>
      </w:pPr>
    </w:p>
    <w:p w:rsidR="00EC0E54" w:rsidRDefault="00EC0E54">
      <w:pPr>
        <w:tabs>
          <w:tab w:val="left" w:pos="5177"/>
        </w:tabs>
        <w:ind w:left="-176"/>
        <w:rPr>
          <w:b/>
          <w:bCs/>
          <w:color w:val="000000"/>
          <w:sz w:val="24"/>
          <w:szCs w:val="24"/>
          <w:u w:val="single"/>
        </w:rPr>
      </w:pPr>
    </w:p>
    <w:tbl>
      <w:tblPr>
        <w:tblW w:w="14996" w:type="dxa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2" w:type="dxa"/>
          <w:right w:w="57" w:type="dxa"/>
        </w:tblCellMar>
        <w:tblLook w:val="04A0"/>
      </w:tblPr>
      <w:tblGrid>
        <w:gridCol w:w="515"/>
        <w:gridCol w:w="4731"/>
        <w:gridCol w:w="958"/>
        <w:gridCol w:w="1134"/>
        <w:gridCol w:w="989"/>
        <w:gridCol w:w="1132"/>
        <w:gridCol w:w="992"/>
        <w:gridCol w:w="1132"/>
        <w:gridCol w:w="993"/>
        <w:gridCol w:w="1132"/>
        <w:gridCol w:w="1288"/>
      </w:tblGrid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Cs/>
                <w:color w:val="000000"/>
                <w:spacing w:val="-20"/>
                <w:sz w:val="24"/>
                <w:szCs w:val="24"/>
              </w:rPr>
              <w:t xml:space="preserve">2012 год, </w:t>
            </w:r>
            <w:r>
              <w:rPr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2013 год,</w:t>
            </w:r>
            <w:r>
              <w:rPr>
                <w:bCs/>
                <w:color w:val="000000"/>
                <w:sz w:val="24"/>
                <w:szCs w:val="24"/>
              </w:rPr>
              <w:t xml:space="preserve"> факт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2014 год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>2016 год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30"/>
                <w:sz w:val="24"/>
                <w:szCs w:val="24"/>
              </w:rPr>
            </w:pPr>
            <w:r>
              <w:rPr>
                <w:bCs/>
                <w:color w:val="000000"/>
                <w:spacing w:val="-16"/>
                <w:sz w:val="24"/>
                <w:szCs w:val="24"/>
              </w:rPr>
              <w:t>2018 год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ind w:left="-57" w:right="-57"/>
              <w:jc w:val="center"/>
            </w:pPr>
            <w:r>
              <w:rPr>
                <w:bCs/>
                <w:color w:val="000000"/>
                <w:spacing w:val="-30"/>
                <w:sz w:val="24"/>
                <w:szCs w:val="24"/>
              </w:rPr>
              <w:t>2014 год –</w:t>
            </w:r>
            <w:r>
              <w:rPr>
                <w:bCs/>
                <w:color w:val="000000"/>
                <w:sz w:val="24"/>
                <w:szCs w:val="24"/>
              </w:rPr>
              <w:t xml:space="preserve"> 2016 год</w:t>
            </w:r>
            <w:r>
              <w:rPr>
                <w:bCs/>
                <w:color w:val="000000"/>
                <w:spacing w:val="-30"/>
                <w:sz w:val="24"/>
                <w:szCs w:val="24"/>
              </w:rPr>
              <w:t>ы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ind w:left="-57" w:right="-57"/>
              <w:jc w:val="center"/>
            </w:pPr>
            <w:r>
              <w:rPr>
                <w:bCs/>
                <w:color w:val="000000"/>
                <w:spacing w:val="-30"/>
                <w:sz w:val="24"/>
                <w:szCs w:val="24"/>
              </w:rPr>
              <w:t>2014 год –</w:t>
            </w:r>
            <w:r>
              <w:rPr>
                <w:bCs/>
                <w:color w:val="000000"/>
                <w:sz w:val="24"/>
                <w:szCs w:val="24"/>
              </w:rPr>
              <w:t xml:space="preserve"> 2018 годы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2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4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5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7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9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bCs/>
                <w:color w:val="000000"/>
                <w:spacing w:val="-16"/>
                <w:sz w:val="24"/>
                <w:szCs w:val="24"/>
              </w:rPr>
            </w:pPr>
            <w:r>
              <w:t>10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Норматив числа получателей услуг на 1 работника учреждений культуры </w:t>
            </w:r>
          </w:p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(по среднесписочной численности работников) (человек)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448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409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423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438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609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837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845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Число получателей услуг (человек)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115700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117400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118900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120400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121900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122200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123400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Среднесписочная численность работников учреждений культуры города Батайска (человек)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286,8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257,2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257,2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198,4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146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146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Численность населения города Батайска (человек)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115700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117400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118900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120400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121900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122200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123400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>Соотношение средней заработной платы работников учреждений культуры и средней заработной платы в Ростовской области: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z w:val="24"/>
                <w:szCs w:val="24"/>
              </w:rPr>
            </w:pP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По Программе поэтапного совершенствования систем оплаты труда в государственных (муниципальных) учреждениях на 2012 – 2018 годы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53,0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59,0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65,0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74,0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85,0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По Плану мероприятий («дорожной карте») «Изменения в отраслях социальной сферы, направленные на повышение эффективности сферы культуры»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56,1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64,9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78,1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82,4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90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100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По Ростовской области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40,9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65,6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76,2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82,4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90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>Средняя заработная плата по Ростовской области (рублей)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19444,1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21616,6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23620,9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22232,1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23564,4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25166,7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26752,2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 xml:space="preserve">Темп роста к предыдущему году </w:t>
            </w:r>
            <w:r>
              <w:rPr>
                <w:color w:val="000000"/>
                <w:sz w:val="24"/>
                <w:szCs w:val="24"/>
              </w:rPr>
              <w:t>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111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109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94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106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107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106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 xml:space="preserve">Среднемесячная заработная плата работников учреждений культуры </w:t>
            </w:r>
            <w:r>
              <w:rPr>
                <w:color w:val="000000"/>
                <w:sz w:val="24"/>
                <w:szCs w:val="24"/>
              </w:rPr>
              <w:t>г. Батайска (рублей)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6974,52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8844,26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15501,6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16948,1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</w:t>
            </w:r>
            <w:r w:rsidR="002F59D3" w:rsidRPr="002F59D3">
              <w:rPr>
                <w:sz w:val="24"/>
                <w:szCs w:val="24"/>
              </w:rPr>
              <w:t>9430,3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22650,0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26752,2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Темп роста к предыдущему году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126,8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175,3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114,6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116,6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118,1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pacing w:val="-16"/>
                <w:sz w:val="24"/>
                <w:szCs w:val="24"/>
              </w:rPr>
            </w:pPr>
            <w:r>
              <w:t>Доля от средств от приносящей доход деятельности в фонде заработной платы по работникам учреждений культуры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6,5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7,3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>Размер начислений на фонд оплаты труда (процентов)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1,302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color w:val="000000"/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>Фонд оплаты труда с начислениями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28114,0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39631,0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62293,1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68105,8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60230,0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51667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61024,1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 w:rsidP="002F59D3">
            <w:pPr>
              <w:rPr>
                <w:sz w:val="24"/>
                <w:szCs w:val="24"/>
                <w:highlight w:val="white"/>
              </w:rPr>
            </w:pPr>
            <w:r w:rsidRPr="002F59D3">
              <w:rPr>
                <w:spacing w:val="-16"/>
                <w:position w:val="-7"/>
                <w:sz w:val="24"/>
                <w:szCs w:val="24"/>
                <w:highlight w:val="white"/>
              </w:rPr>
              <w:t>190628,9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 w:rsidP="002F59D3">
            <w:pPr>
              <w:rPr>
                <w:sz w:val="24"/>
                <w:szCs w:val="24"/>
                <w:highlight w:val="white"/>
              </w:rPr>
            </w:pPr>
            <w:r w:rsidRPr="002F59D3">
              <w:rPr>
                <w:spacing w:val="-16"/>
                <w:position w:val="-7"/>
                <w:sz w:val="24"/>
                <w:szCs w:val="24"/>
                <w:highlight w:val="white"/>
              </w:rPr>
              <w:t>303320</w:t>
            </w:r>
            <w:r>
              <w:rPr>
                <w:spacing w:val="-16"/>
                <w:position w:val="-7"/>
                <w:sz w:val="24"/>
                <w:szCs w:val="24"/>
                <w:highlight w:val="white"/>
              </w:rPr>
              <w:t>,0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Прирост фонда оплаты труда с начис</w:t>
            </w:r>
            <w:r>
              <w:rPr>
                <w:color w:val="000000"/>
                <w:sz w:val="24"/>
                <w:szCs w:val="24"/>
              </w:rPr>
              <w:softHyphen/>
              <w:t>лениями по отношению к 2013 году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11517,0*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22662,1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28474,8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205</w:t>
            </w:r>
            <w:r w:rsidR="002F59D3" w:rsidRPr="002F59D3">
              <w:rPr>
                <w:sz w:val="24"/>
                <w:szCs w:val="24"/>
              </w:rPr>
              <w:t>99,0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12036</w:t>
            </w:r>
            <w:r w:rsidR="002F59D3" w:rsidRP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21393,1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71735,9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105165</w:t>
            </w:r>
            <w:r>
              <w:rPr>
                <w:sz w:val="24"/>
                <w:szCs w:val="24"/>
              </w:rPr>
              <w:t>,0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В том числе: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spacing w:line="228" w:lineRule="auto"/>
              <w:jc w:val="center"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pStyle w:val="ab"/>
              <w:contextualSpacing/>
              <w:rPr>
                <w:sz w:val="24"/>
                <w:szCs w:val="24"/>
              </w:rPr>
            </w:pP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За счет средств консолидированного бюджета Ростовской области, включая дотацию из федерального бюджета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11517,0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19780,1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25627,3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145</w:t>
            </w:r>
            <w:r w:rsidR="002F59D3" w:rsidRPr="002F59D3">
              <w:rPr>
                <w:sz w:val="24"/>
                <w:szCs w:val="24"/>
              </w:rPr>
              <w:t>76,0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8264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17609,6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59983,4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85857,0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Включая средства, полученные за счет проведения мероприятий по оптимизации (тыс. рублей), из них: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rFonts w:eastAsia="Liberation Serif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6429,1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8086,8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6351,2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2279,0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2299,2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20867,1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25445,3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От реструктуризации сети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rFonts w:eastAsia="Liberation Serif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От оптимизации численности персонала, в том числе административно-управленческого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rFonts w:eastAsia="Liberation Serif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1404,7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1720,9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4452,9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7578,5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7578,5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От сокращения и оптимизации расходов на содержание учреждений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rFonts w:eastAsia="Liberation Serif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5024,4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6365,9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1898,3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2279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2299,2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13288,6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17866,8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spacing w:line="228" w:lineRule="auto"/>
              <w:rPr>
                <w:spacing w:val="-16"/>
                <w:sz w:val="24"/>
                <w:szCs w:val="24"/>
              </w:rPr>
            </w:pPr>
            <w:r>
              <w:t>За счет средств от приносящей доход деятельности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-</w:t>
            </w:r>
            <w:r w:rsidR="002F59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2882,0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2847,5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60</w:t>
            </w:r>
            <w:r w:rsidR="002F59D3" w:rsidRPr="002F59D3">
              <w:rPr>
                <w:sz w:val="24"/>
                <w:szCs w:val="24"/>
              </w:rPr>
              <w:t>23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3772</w:t>
            </w:r>
            <w:r w:rsidR="002F59D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3783,5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117</w:t>
            </w:r>
            <w:r w:rsidR="002F59D3" w:rsidRPr="002F59D3">
              <w:rPr>
                <w:sz w:val="24"/>
                <w:szCs w:val="24"/>
              </w:rPr>
              <w:t>52</w:t>
            </w:r>
            <w:r w:rsidRPr="002F59D3">
              <w:rPr>
                <w:sz w:val="24"/>
                <w:szCs w:val="24"/>
              </w:rPr>
              <w:t>,5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 w:rsidP="002F59D3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1930</w:t>
            </w:r>
            <w:r w:rsidR="002F59D3" w:rsidRPr="002F59D3">
              <w:rPr>
                <w:sz w:val="24"/>
                <w:szCs w:val="24"/>
              </w:rPr>
              <w:t>8</w:t>
            </w:r>
            <w:r w:rsidR="002F59D3">
              <w:rPr>
                <w:sz w:val="24"/>
                <w:szCs w:val="24"/>
              </w:rPr>
              <w:t>,0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 xml:space="preserve">За счет иных источников (решений), включая корректировку консолидированного </w:t>
            </w:r>
            <w:r>
              <w:rPr>
                <w:color w:val="000000"/>
                <w:sz w:val="24"/>
                <w:szCs w:val="24"/>
              </w:rPr>
              <w:t>бюджета Ростовской области на соответствующий год (тыс. рублей)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rFonts w:eastAsia="Liberation Serif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rFonts w:eastAsia="Liberation Serif"/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rFonts w:eastAsia="Liberation Serif"/>
                <w:sz w:val="24"/>
                <w:szCs w:val="24"/>
              </w:rPr>
              <w:t>–</w:t>
            </w:r>
          </w:p>
        </w:tc>
      </w:tr>
      <w:tr w:rsidR="002F59D3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Default="002F59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Default="002F59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Итого, объем средств, предусмотренный на повышение оплаты труда (тыс. рублей)</w:t>
            </w:r>
          </w:p>
          <w:p w:rsidR="002F59D3" w:rsidRDefault="002F59D3">
            <w:pPr>
              <w:rPr>
                <w:spacing w:val="-16"/>
                <w:sz w:val="24"/>
                <w:szCs w:val="24"/>
              </w:rPr>
            </w:pPr>
            <w:r>
              <w:t>(стр. 18 + 23 + 24)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2F59D3" w:rsidRPr="002F59D3" w:rsidRDefault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11517,0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z w:val="24"/>
                <w:szCs w:val="24"/>
              </w:rPr>
            </w:pPr>
          </w:p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22662,1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28474,8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2F59D3" w:rsidRPr="002F59D3" w:rsidRDefault="002F59D3" w:rsidP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20599,0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2F59D3" w:rsidRPr="002F59D3" w:rsidRDefault="002F59D3" w:rsidP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12036,0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Pr="002F59D3" w:rsidRDefault="002F59D3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2F59D3" w:rsidRPr="002F59D3" w:rsidRDefault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21393,1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Default="002F59D3" w:rsidP="00B92A96">
            <w:pPr>
              <w:pStyle w:val="ab"/>
              <w:contextualSpacing/>
              <w:rPr>
                <w:sz w:val="24"/>
                <w:szCs w:val="24"/>
              </w:rPr>
            </w:pPr>
          </w:p>
          <w:p w:rsidR="002F59D3" w:rsidRPr="002F59D3" w:rsidRDefault="002F59D3" w:rsidP="00B92A96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71735,9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2F59D3" w:rsidRDefault="002F59D3" w:rsidP="00B92A96">
            <w:pPr>
              <w:pStyle w:val="ab"/>
              <w:contextualSpacing/>
              <w:rPr>
                <w:sz w:val="24"/>
                <w:szCs w:val="24"/>
              </w:rPr>
            </w:pPr>
          </w:p>
          <w:p w:rsidR="002F59D3" w:rsidRPr="002F59D3" w:rsidRDefault="002F59D3" w:rsidP="00B92A96">
            <w:pPr>
              <w:pStyle w:val="ab"/>
              <w:contextualSpacing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105165</w:t>
            </w:r>
            <w:r>
              <w:rPr>
                <w:sz w:val="24"/>
                <w:szCs w:val="24"/>
              </w:rPr>
              <w:t>,0</w:t>
            </w:r>
          </w:p>
        </w:tc>
      </w:tr>
      <w:tr w:rsidR="00EC0E54" w:rsidTr="002F59D3"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4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Default="008A16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Соотношение объема средств от оптимизации к сумме объема средств, предусмотренного на повышение оплаты труда (процентов) </w:t>
            </w:r>
          </w:p>
          <w:p w:rsidR="00EC0E54" w:rsidRDefault="008A16F2">
            <w:pPr>
              <w:rPr>
                <w:spacing w:val="-16"/>
                <w:sz w:val="24"/>
                <w:szCs w:val="24"/>
              </w:rPr>
            </w:pPr>
            <w:r>
              <w:t>(стр. 19/стр. 25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x </w:t>
            </w:r>
            <w:r>
              <w:rPr>
                <w:color w:val="000000"/>
                <w:sz w:val="24"/>
                <w:szCs w:val="24"/>
              </w:rPr>
              <w:t>100%)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  <w:lang w:val="en-US"/>
              </w:rPr>
            </w:pPr>
            <w:r w:rsidRPr="002F59D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x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28,4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>
            <w:pPr>
              <w:jc w:val="center"/>
              <w:rPr>
                <w:spacing w:val="-16"/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28,4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30,8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 w:rsidP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1</w:t>
            </w:r>
            <w:r w:rsidR="002F59D3" w:rsidRPr="002F59D3">
              <w:rPr>
                <w:sz w:val="24"/>
                <w:szCs w:val="24"/>
              </w:rPr>
              <w:t>0,</w:t>
            </w:r>
            <w:r w:rsidRPr="002F59D3">
              <w:rPr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29,1</w:t>
            </w: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2" w:type="dxa"/>
            </w:tcMar>
          </w:tcPr>
          <w:p w:rsidR="00EC0E54" w:rsidRPr="002F59D3" w:rsidRDefault="00EC0E54">
            <w:pPr>
              <w:jc w:val="center"/>
              <w:rPr>
                <w:spacing w:val="-16"/>
                <w:sz w:val="24"/>
                <w:szCs w:val="24"/>
              </w:rPr>
            </w:pPr>
          </w:p>
          <w:p w:rsidR="00EC0E54" w:rsidRPr="002F59D3" w:rsidRDefault="008A16F2" w:rsidP="002F59D3">
            <w:pPr>
              <w:jc w:val="center"/>
              <w:rPr>
                <w:sz w:val="24"/>
                <w:szCs w:val="24"/>
              </w:rPr>
            </w:pPr>
            <w:r w:rsidRPr="002F59D3">
              <w:rPr>
                <w:sz w:val="24"/>
                <w:szCs w:val="24"/>
              </w:rPr>
              <w:t>24,</w:t>
            </w:r>
            <w:r w:rsidR="002F59D3" w:rsidRPr="002F59D3">
              <w:rPr>
                <w:sz w:val="24"/>
                <w:szCs w:val="24"/>
              </w:rPr>
              <w:t>2</w:t>
            </w:r>
          </w:p>
        </w:tc>
      </w:tr>
    </w:tbl>
    <w:p w:rsidR="00EC0E54" w:rsidRDefault="00EC0E54">
      <w:pPr>
        <w:ind w:left="720" w:firstLine="709"/>
        <w:rPr>
          <w:color w:val="000000"/>
          <w:sz w:val="24"/>
          <w:szCs w:val="24"/>
        </w:rPr>
      </w:pPr>
    </w:p>
    <w:p w:rsidR="00EC0E54" w:rsidRDefault="008A16F2">
      <w:r>
        <w:rPr>
          <w:color w:val="000000"/>
          <w:sz w:val="24"/>
          <w:szCs w:val="24"/>
        </w:rPr>
        <w:t>* Прирост фонда оплаты труда с начислениями по отношению к 2012 году.</w:t>
      </w:r>
    </w:p>
    <w:p w:rsidR="00EC0E54" w:rsidRDefault="00EC0E54">
      <w:pPr>
        <w:rPr>
          <w:color w:val="000000"/>
          <w:sz w:val="24"/>
          <w:szCs w:val="24"/>
        </w:rPr>
      </w:pPr>
    </w:p>
    <w:p w:rsidR="00EC0E54" w:rsidRDefault="008A16F2">
      <w:r>
        <w:rPr>
          <w:sz w:val="24"/>
          <w:szCs w:val="24"/>
        </w:rPr>
        <w:t>Начальник общего отдела</w:t>
      </w:r>
      <w:r w:rsidR="002C284F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 города Батайска</w:t>
      </w:r>
      <w:r>
        <w:rPr>
          <w:sz w:val="24"/>
          <w:szCs w:val="24"/>
        </w:rPr>
        <w:tab/>
      </w:r>
      <w:r w:rsidR="002C284F">
        <w:rPr>
          <w:sz w:val="24"/>
          <w:szCs w:val="24"/>
        </w:rPr>
        <w:t xml:space="preserve">                                                                                                         </w:t>
      </w:r>
      <w:r>
        <w:rPr>
          <w:sz w:val="24"/>
          <w:szCs w:val="24"/>
        </w:rPr>
        <w:t>В.С. Мирошникова</w:t>
      </w:r>
    </w:p>
    <w:sectPr w:rsidR="00EC0E54" w:rsidSect="002C284F">
      <w:pgSz w:w="16838" w:h="11906" w:orient="landscape"/>
      <w:pgMar w:top="709" w:right="851" w:bottom="1134" w:left="1304" w:header="0" w:footer="720" w:gutter="0"/>
      <w:cols w:space="720"/>
      <w:formProt w:val="0"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DA3" w:rsidRDefault="002C6DA3" w:rsidP="00EC0E54">
      <w:r>
        <w:separator/>
      </w:r>
    </w:p>
  </w:endnote>
  <w:endnote w:type="continuationSeparator" w:id="1">
    <w:p w:rsidR="002C6DA3" w:rsidRDefault="002C6DA3" w:rsidP="00EC0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entury Schoolbook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54" w:rsidRDefault="00540027">
    <w:pPr>
      <w:pStyle w:val="Footer"/>
      <w:ind w:right="360"/>
      <w:rPr>
        <w:lang w:val="en-US"/>
      </w:rPr>
    </w:pPr>
    <w:r w:rsidRPr="00540027">
      <w:rPr>
        <w:lang w:val="en-US"/>
      </w:rPr>
      <w:pict>
        <v:rect id="Врезка1" o:spid="_x0000_s1025" style="position:absolute;margin-left:589.05pt;margin-top:.05pt;width:5pt;height:11.4pt;z-index:251657728;mso-position-horizontal:right;mso-position-horizontal-relative:margin" stroked="f" strokecolor="#3465a4">
          <v:fill opacity="0" color2="black" o:detectmouseclick="t"/>
          <v:stroke joinstyle="round"/>
          <v:textbox>
            <w:txbxContent>
              <w:p w:rsidR="00EC0E54" w:rsidRDefault="00540027">
                <w:pPr>
                  <w:pStyle w:val="Footer"/>
                  <w:rPr>
                    <w:color w:val="auto"/>
                  </w:rPr>
                </w:pPr>
                <w:r w:rsidRPr="00540027">
                  <w:rPr>
                    <w:color w:val="auto"/>
                  </w:rPr>
                  <w:fldChar w:fldCharType="begin"/>
                </w:r>
                <w:r w:rsidR="008A16F2">
                  <w:instrText>PAGE</w:instrText>
                </w:r>
                <w:r>
                  <w:fldChar w:fldCharType="separate"/>
                </w:r>
                <w:r w:rsidR="0009740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DA3" w:rsidRDefault="002C6DA3" w:rsidP="00EC0E54">
      <w:r>
        <w:separator/>
      </w:r>
    </w:p>
  </w:footnote>
  <w:footnote w:type="continuationSeparator" w:id="1">
    <w:p w:rsidR="002C6DA3" w:rsidRDefault="002C6DA3" w:rsidP="00EC0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7DFE"/>
    <w:multiLevelType w:val="multilevel"/>
    <w:tmpl w:val="764E24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62B4D0E"/>
    <w:multiLevelType w:val="multilevel"/>
    <w:tmpl w:val="764E24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5C1CAF"/>
    <w:multiLevelType w:val="multilevel"/>
    <w:tmpl w:val="455A1B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C0E54"/>
    <w:rsid w:val="00097406"/>
    <w:rsid w:val="001363CB"/>
    <w:rsid w:val="002C284F"/>
    <w:rsid w:val="002C6DA3"/>
    <w:rsid w:val="002F59D3"/>
    <w:rsid w:val="00540027"/>
    <w:rsid w:val="00707687"/>
    <w:rsid w:val="008A16F2"/>
    <w:rsid w:val="00986360"/>
    <w:rsid w:val="00BF7D26"/>
    <w:rsid w:val="00C81336"/>
    <w:rsid w:val="00D17BC2"/>
    <w:rsid w:val="00EC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41"/>
    <w:pPr>
      <w:suppressAutoHyphens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4B454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customStyle="1" w:styleId="Heading2">
    <w:name w:val="Heading 2"/>
    <w:basedOn w:val="a"/>
    <w:link w:val="2"/>
    <w:qFormat/>
    <w:rsid w:val="004B4541"/>
    <w:pPr>
      <w:keepNext/>
      <w:ind w:left="709"/>
      <w:outlineLvl w:val="1"/>
    </w:pPr>
    <w:rPr>
      <w:sz w:val="28"/>
    </w:rPr>
  </w:style>
  <w:style w:type="character" w:customStyle="1" w:styleId="1">
    <w:name w:val="Заголовок 1 Знак"/>
    <w:basedOn w:val="a0"/>
    <w:link w:val="Heading1"/>
    <w:qFormat/>
    <w:rsid w:val="004B454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Заголовок 2 Знак"/>
    <w:basedOn w:val="a0"/>
    <w:link w:val="Heading2"/>
    <w:qFormat/>
    <w:rsid w:val="004B45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4B45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4B45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4B45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qFormat/>
    <w:rsid w:val="004B45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qFormat/>
    <w:rsid w:val="004B4541"/>
  </w:style>
  <w:style w:type="character" w:customStyle="1" w:styleId="FontStyle14">
    <w:name w:val="Font Style14"/>
    <w:qFormat/>
    <w:rsid w:val="004B4541"/>
    <w:rPr>
      <w:rFonts w:ascii="Century Schoolbook" w:hAnsi="Century Schoolbook" w:cs="Century Schoolbook"/>
      <w:sz w:val="28"/>
      <w:szCs w:val="28"/>
    </w:rPr>
  </w:style>
  <w:style w:type="character" w:customStyle="1" w:styleId="a8">
    <w:name w:val="Текст выноски Знак"/>
    <w:basedOn w:val="a0"/>
    <w:qFormat/>
    <w:rsid w:val="004B4541"/>
    <w:rPr>
      <w:rFonts w:ascii="Tahoma" w:eastAsia="Times New Roman" w:hAnsi="Tahoma" w:cs="Times New Roman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4B4541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qFormat/>
    <w:rsid w:val="004B4541"/>
    <w:rPr>
      <w:color w:val="800080" w:themeColor="followedHyperlink"/>
      <w:u w:val="single"/>
    </w:rPr>
  </w:style>
  <w:style w:type="character" w:customStyle="1" w:styleId="ListLabel1">
    <w:name w:val="ListLabel 1"/>
    <w:qFormat/>
    <w:rsid w:val="00EC0E54"/>
    <w:rPr>
      <w:rFonts w:cs="Times New Roman"/>
    </w:rPr>
  </w:style>
  <w:style w:type="paragraph" w:customStyle="1" w:styleId="aa">
    <w:name w:val="Заголовок"/>
    <w:basedOn w:val="a"/>
    <w:next w:val="ab"/>
    <w:qFormat/>
    <w:rsid w:val="00EC0E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4B4541"/>
    <w:pPr>
      <w:spacing w:after="140" w:line="288" w:lineRule="auto"/>
    </w:pPr>
    <w:rPr>
      <w:sz w:val="28"/>
    </w:rPr>
  </w:style>
  <w:style w:type="paragraph" w:styleId="ac">
    <w:name w:val="List"/>
    <w:basedOn w:val="ab"/>
    <w:rsid w:val="00EC0E54"/>
    <w:rPr>
      <w:rFonts w:cs="Mangal"/>
    </w:rPr>
  </w:style>
  <w:style w:type="paragraph" w:customStyle="1" w:styleId="Caption">
    <w:name w:val="Caption"/>
    <w:basedOn w:val="a"/>
    <w:qFormat/>
    <w:rsid w:val="00EC0E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EC0E54"/>
    <w:pPr>
      <w:suppressLineNumbers/>
    </w:pPr>
    <w:rPr>
      <w:rFonts w:cs="Mangal"/>
    </w:rPr>
  </w:style>
  <w:style w:type="paragraph" w:styleId="ae">
    <w:name w:val="Body Text Indent"/>
    <w:basedOn w:val="a"/>
    <w:rsid w:val="004B454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4B4541"/>
    <w:pPr>
      <w:jc w:val="center"/>
    </w:pPr>
    <w:rPr>
      <w:sz w:val="28"/>
    </w:rPr>
  </w:style>
  <w:style w:type="paragraph" w:customStyle="1" w:styleId="Footer">
    <w:name w:val="Footer"/>
    <w:basedOn w:val="a"/>
    <w:rsid w:val="004B4541"/>
    <w:pPr>
      <w:tabs>
        <w:tab w:val="center" w:pos="4153"/>
        <w:tab w:val="right" w:pos="8306"/>
      </w:tabs>
    </w:pPr>
  </w:style>
  <w:style w:type="paragraph" w:customStyle="1" w:styleId="Header">
    <w:name w:val="Header"/>
    <w:basedOn w:val="a"/>
    <w:rsid w:val="004B4541"/>
    <w:pPr>
      <w:tabs>
        <w:tab w:val="center" w:pos="4153"/>
        <w:tab w:val="right" w:pos="8306"/>
      </w:tabs>
    </w:pPr>
  </w:style>
  <w:style w:type="paragraph" w:customStyle="1" w:styleId="10">
    <w:name w:val="Абзац списка1"/>
    <w:basedOn w:val="a"/>
    <w:qFormat/>
    <w:rsid w:val="004B45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Balloon Text"/>
    <w:basedOn w:val="a"/>
    <w:qFormat/>
    <w:rsid w:val="004B4541"/>
    <w:rPr>
      <w:rFonts w:ascii="Tahoma" w:hAnsi="Tahoma"/>
      <w:sz w:val="16"/>
      <w:szCs w:val="16"/>
    </w:rPr>
  </w:style>
  <w:style w:type="paragraph" w:customStyle="1" w:styleId="11">
    <w:name w:val="Обычный1"/>
    <w:qFormat/>
    <w:rsid w:val="004B4541"/>
    <w:pPr>
      <w:suppressAutoHyphens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7F201D"/>
    <w:pPr>
      <w:ind w:left="720"/>
      <w:contextualSpacing/>
    </w:pPr>
  </w:style>
  <w:style w:type="paragraph" w:customStyle="1" w:styleId="af1">
    <w:name w:val="Содержимое врезки"/>
    <w:basedOn w:val="a"/>
    <w:qFormat/>
    <w:rsid w:val="00EC0E54"/>
  </w:style>
  <w:style w:type="table" w:styleId="af2">
    <w:name w:val="Table Grid"/>
    <w:basedOn w:val="a1"/>
    <w:rsid w:val="004B4541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B75C-54E3-4FE3-BEDC-8D6C7438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Black_Raven</cp:lastModifiedBy>
  <cp:revision>8</cp:revision>
  <cp:lastPrinted>2017-02-01T14:01:00Z</cp:lastPrinted>
  <dcterms:created xsi:type="dcterms:W3CDTF">2017-02-01T06:31:00Z</dcterms:created>
  <dcterms:modified xsi:type="dcterms:W3CDTF">2017-02-21T12:24:00Z</dcterms:modified>
  <dc:language>ru-RU</dc:language>
</cp:coreProperties>
</file>