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0C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0D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0E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0F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0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1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3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4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5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6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7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8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9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A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B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C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D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E000000">
      <w:pPr>
        <w:pStyle w:val="Style_2"/>
        <w:rPr>
          <w:sz w:val="26"/>
        </w:rPr>
      </w:pPr>
    </w:p>
    <w:p w14:paraId="1F000000">
      <w:pPr>
        <w:pStyle w:val="Style_2"/>
        <w:rPr>
          <w:sz w:val="26"/>
        </w:rPr>
      </w:pPr>
      <w:r>
        <w:rPr>
          <w:sz w:val="26"/>
        </w:rPr>
        <w:t>НОРМАТИВЫ ГРАДОСТРОИТЕЛЬНОГО ПРОЕКТИРОВАНИЯ</w:t>
      </w:r>
    </w:p>
    <w:p w14:paraId="20000000">
      <w:pPr>
        <w:pStyle w:val="Style_2"/>
        <w:rPr>
          <w:sz w:val="26"/>
        </w:rPr>
      </w:pPr>
      <w:r>
        <w:rPr>
          <w:sz w:val="26"/>
        </w:rPr>
        <w:t>МУНИЦИПАЛЬНОГО ОБРАЗОВАНИЯ «ГОРОД БАТАЙСК»</w:t>
      </w:r>
    </w:p>
    <w:p w14:paraId="21000000"/>
    <w:p w14:paraId="22000000">
      <w:pPr>
        <w:pStyle w:val="Style_3"/>
        <w:ind w:firstLine="0" w:left="1134" w:right="1246"/>
      </w:pPr>
      <w:r>
        <w:t xml:space="preserve">МАТЕРИАЛЫ ПО ОБОСНОВАНИЮ РАСЧЕТНЫХ </w:t>
      </w:r>
      <w:r>
        <w:t>ПОКАЗАТЕЛЕЙ</w:t>
      </w:r>
    </w:p>
    <w:p w14:paraId="23000000"/>
    <w:p w14:paraId="24000000"/>
    <w:p w14:paraId="25000000">
      <w:pPr>
        <w:sectPr>
          <w:footerReference r:id="rId3" w:type="default"/>
          <w:pgSz w:h="16840" w:orient="portrait" w:w="11900"/>
          <w:pgMar w:bottom="567" w:footer="0" w:gutter="0" w:header="720" w:left="1134" w:right="580" w:top="568"/>
          <w:titlePg/>
        </w:sectPr>
      </w:pPr>
    </w:p>
    <w:p w14:paraId="26000000">
      <w:pPr>
        <w:pStyle w:val="Style_2"/>
        <w:rPr>
          <w:sz w:val="26"/>
        </w:rPr>
      </w:pPr>
      <w:r>
        <w:rPr>
          <w:sz w:val="26"/>
        </w:rPr>
        <w:t>СТАТЬЯ 1. ИНФОРМАЦИЯ О СОВРЕМЕННОМ СОСТОЯНИИ, ПРОГНОЗЕ РАЗВИТИЯ ГОРОДСКОГО ОКРУГА</w:t>
      </w:r>
    </w:p>
    <w:p w14:paraId="27000000">
      <w:pPr>
        <w:pStyle w:val="Style_4"/>
        <w:tabs>
          <w:tab w:leader="none" w:pos="851" w:val="left"/>
          <w:tab w:leader="none" w:pos="9356" w:val="left"/>
        </w:tabs>
        <w:ind/>
        <w:rPr>
          <w:rFonts w:ascii="Times New Roman" w:hAnsi="Times New Roman"/>
          <w:color w:val="0070C0"/>
          <w:sz w:val="26"/>
        </w:rPr>
      </w:pPr>
    </w:p>
    <w:p w14:paraId="28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Муниципальное образование городской округ </w:t>
      </w:r>
      <w:r>
        <w:rPr>
          <w:rFonts w:ascii="Times New Roman" w:hAnsi="Times New Roman"/>
          <w:sz w:val="26"/>
          <w:highlight w:val="white"/>
        </w:rPr>
        <w:t>«Город Батайск»</w:t>
      </w:r>
      <w:r>
        <w:rPr>
          <w:rFonts w:ascii="Times New Roman" w:hAnsi="Times New Roman"/>
          <w:sz w:val="26"/>
          <w:highlight w:val="white"/>
        </w:rPr>
        <w:t xml:space="preserve"> Ростовской области является </w:t>
      </w:r>
      <w:r>
        <w:rPr>
          <w:rFonts w:ascii="Times New Roman" w:hAnsi="Times New Roman"/>
          <w:sz w:val="26"/>
          <w:highlight w:val="white"/>
        </w:rPr>
        <w:t>горо</w:t>
      </w:r>
      <w:r>
        <w:rPr>
          <w:rFonts w:ascii="Times New Roman" w:hAnsi="Times New Roman"/>
          <w:sz w:val="26"/>
          <w:highlight w:val="white"/>
        </w:rPr>
        <w:t>дом-спутником областного центра и</w:t>
      </w:r>
      <w:r>
        <w:rPr>
          <w:rFonts w:ascii="Times New Roman" w:hAnsi="Times New Roman"/>
          <w:sz w:val="26"/>
          <w:highlight w:val="white"/>
        </w:rPr>
        <w:t xml:space="preserve"> расп</w:t>
      </w:r>
      <w:r>
        <w:rPr>
          <w:rFonts w:ascii="Times New Roman" w:hAnsi="Times New Roman"/>
          <w:sz w:val="26"/>
          <w:highlight w:val="white"/>
        </w:rPr>
        <w:t>оложен</w:t>
      </w:r>
      <w:r>
        <w:rPr>
          <w:rFonts w:ascii="Times New Roman" w:hAnsi="Times New Roman"/>
          <w:sz w:val="26"/>
          <w:highlight w:val="white"/>
        </w:rPr>
        <w:t>о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 xml:space="preserve">на левом берегу реки Дон – </w:t>
      </w:r>
      <w:r>
        <w:rPr>
          <w:rFonts w:ascii="Times New Roman" w:hAnsi="Times New Roman"/>
          <w:sz w:val="26"/>
          <w:highlight w:val="white"/>
        </w:rPr>
        <w:t xml:space="preserve">всего в 10 км к югу от </w:t>
      </w:r>
      <w:r>
        <w:rPr>
          <w:rFonts w:ascii="Times New Roman" w:hAnsi="Times New Roman"/>
          <w:sz w:val="26"/>
          <w:highlight w:val="white"/>
        </w:rPr>
        <w:t>города</w:t>
      </w:r>
      <w:r>
        <w:rPr>
          <w:rFonts w:ascii="Times New Roman" w:hAnsi="Times New Roman"/>
          <w:sz w:val="26"/>
          <w:highlight w:val="white"/>
        </w:rPr>
        <w:t xml:space="preserve"> Ростова-на-Дону. </w:t>
      </w:r>
      <w:r>
        <w:rPr>
          <w:rFonts w:ascii="Times New Roman" w:hAnsi="Times New Roman"/>
          <w:sz w:val="26"/>
          <w:highlight w:val="white"/>
        </w:rPr>
        <w:t xml:space="preserve">Город Батайск на севере граничит с городом Ростовом-на-Дону, на востоке – с </w:t>
      </w:r>
      <w:r>
        <w:rPr>
          <w:rFonts w:ascii="Times New Roman" w:hAnsi="Times New Roman"/>
          <w:sz w:val="26"/>
          <w:highlight w:val="white"/>
        </w:rPr>
        <w:t>Аксайским</w:t>
      </w:r>
      <w:r>
        <w:rPr>
          <w:rFonts w:ascii="Times New Roman" w:hAnsi="Times New Roman"/>
          <w:sz w:val="26"/>
          <w:highlight w:val="white"/>
        </w:rPr>
        <w:t xml:space="preserve"> районом, на юге – с </w:t>
      </w:r>
      <w:r>
        <w:rPr>
          <w:rFonts w:ascii="Times New Roman" w:hAnsi="Times New Roman"/>
          <w:sz w:val="26"/>
          <w:highlight w:val="white"/>
        </w:rPr>
        <w:t>Кагальницким</w:t>
      </w:r>
      <w:r>
        <w:rPr>
          <w:rFonts w:ascii="Times New Roman" w:hAnsi="Times New Roman"/>
          <w:sz w:val="26"/>
          <w:highlight w:val="white"/>
        </w:rPr>
        <w:t xml:space="preserve"> районом, на западе – с Азовским районом. </w:t>
      </w:r>
      <w:r>
        <w:rPr>
          <w:rFonts w:ascii="Times New Roman" w:hAnsi="Times New Roman"/>
          <w:sz w:val="26"/>
          <w:highlight w:val="white"/>
        </w:rPr>
        <w:t>Общая площадь</w:t>
      </w:r>
      <w:r>
        <w:rPr>
          <w:rFonts w:ascii="Times New Roman" w:hAnsi="Times New Roman"/>
          <w:sz w:val="26"/>
          <w:highlight w:val="white"/>
        </w:rPr>
        <w:t xml:space="preserve"> территории </w:t>
      </w:r>
      <w:r>
        <w:rPr>
          <w:rFonts w:ascii="Times New Roman" w:hAnsi="Times New Roman"/>
          <w:sz w:val="26"/>
          <w:highlight w:val="white"/>
        </w:rPr>
        <w:t>муниципального образования</w:t>
      </w:r>
      <w:r>
        <w:rPr>
          <w:rFonts w:ascii="Times New Roman" w:hAnsi="Times New Roman"/>
          <w:sz w:val="26"/>
          <w:highlight w:val="white"/>
        </w:rPr>
        <w:t xml:space="preserve"> городской округ «Город Батайск» </w:t>
      </w:r>
      <w:r>
        <w:rPr>
          <w:rFonts w:ascii="Times New Roman" w:hAnsi="Times New Roman"/>
          <w:sz w:val="26"/>
          <w:highlight w:val="white"/>
        </w:rPr>
        <w:t>составляет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8009,55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га</w:t>
      </w:r>
      <w:r>
        <w:rPr>
          <w:rFonts w:ascii="Times New Roman" w:hAnsi="Times New Roman"/>
          <w:sz w:val="26"/>
          <w:highlight w:val="white"/>
        </w:rPr>
        <w:t>.</w:t>
      </w:r>
      <w:r>
        <w:rPr>
          <w:rFonts w:ascii="Times New Roman" w:hAnsi="Times New Roman"/>
          <w:sz w:val="26"/>
          <w:highlight w:val="white"/>
        </w:rPr>
        <w:t xml:space="preserve"> </w:t>
      </w:r>
    </w:p>
    <w:p w14:paraId="29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Название города «Батайск» происходит от тюркского «Ба-Тай-Су» – «Влажная низина </w:t>
      </w:r>
      <w:r>
        <w:rPr>
          <w:rFonts w:ascii="Times New Roman" w:hAnsi="Times New Roman"/>
          <w:sz w:val="26"/>
          <w:highlight w:val="white"/>
        </w:rPr>
        <w:t>с ручьем». Тюркские п</w:t>
      </w:r>
      <w:bookmarkStart w:id="1" w:name="_GoBack"/>
      <w:bookmarkEnd w:id="1"/>
      <w:r>
        <w:rPr>
          <w:rFonts w:ascii="Times New Roman" w:hAnsi="Times New Roman"/>
          <w:sz w:val="26"/>
          <w:highlight w:val="white"/>
        </w:rPr>
        <w:t xml:space="preserve">лемена неоднократно совершали набеги на эту территорию. Согласно другой гипотезы в названии сыграла роль небольшая река </w:t>
      </w:r>
      <w:r>
        <w:rPr>
          <w:rFonts w:ascii="Times New Roman" w:hAnsi="Times New Roman"/>
          <w:sz w:val="26"/>
          <w:highlight w:val="white"/>
        </w:rPr>
        <w:t>Батайсу</w:t>
      </w:r>
      <w:r>
        <w:rPr>
          <w:rFonts w:ascii="Times New Roman" w:hAnsi="Times New Roman"/>
          <w:sz w:val="26"/>
          <w:highlight w:val="white"/>
        </w:rPr>
        <w:t xml:space="preserve">. Ее название переводится на русский язык как «ручей Батыя». Во времена Золотой Орды именно на месте будущего Батайска размещалась ставка татарского хана Батыя. </w:t>
      </w:r>
    </w:p>
    <w:p w14:paraId="2A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Основание постоянного русского поселения на территории Батайска произошло в ходе русско-турецкой войны 1768-1774 гг., когда русские войска заняли Азов и Таганрог. Официальным годом основания Батайска считается 1769 год. </w:t>
      </w:r>
      <w:r>
        <w:rPr>
          <w:rFonts w:ascii="Times New Roman" w:hAnsi="Times New Roman"/>
          <w:sz w:val="26"/>
          <w:highlight w:val="white"/>
        </w:rPr>
        <w:t xml:space="preserve">Конец XVIII – начало XIX веков стали периодом быстрого заселения и хозяйственного освоения Северного Кавказа Через селение </w:t>
      </w:r>
      <w:r>
        <w:rPr>
          <w:rFonts w:ascii="Times New Roman" w:hAnsi="Times New Roman"/>
          <w:sz w:val="26"/>
          <w:highlight w:val="white"/>
        </w:rPr>
        <w:t>Койсуг</w:t>
      </w:r>
      <w:r>
        <w:rPr>
          <w:rFonts w:ascii="Times New Roman" w:hAnsi="Times New Roman"/>
          <w:sz w:val="26"/>
          <w:highlight w:val="white"/>
        </w:rPr>
        <w:t xml:space="preserve">, район современного Батайска, была </w:t>
      </w:r>
      <w:r>
        <w:rPr>
          <w:rFonts w:ascii="Times New Roman" w:hAnsi="Times New Roman"/>
          <w:sz w:val="26"/>
          <w:highlight w:val="white"/>
        </w:rPr>
        <w:t xml:space="preserve">проложена дорога на Кубань. </w:t>
      </w:r>
      <w:r>
        <w:rPr>
          <w:rFonts w:ascii="Times New Roman" w:hAnsi="Times New Roman"/>
          <w:sz w:val="26"/>
          <w:highlight w:val="white"/>
        </w:rPr>
        <w:t>Развиваясь с остальными регионами, к середине XIX века Батайск был уже большим, быстрорастущим селом, которое по числу населения перегнало многие уездные города Центральной России. Мощным толчком в развитии Батайска стало строительство В</w:t>
      </w:r>
      <w:r>
        <w:rPr>
          <w:rFonts w:ascii="Times New Roman" w:hAnsi="Times New Roman"/>
          <w:sz w:val="26"/>
          <w:highlight w:val="white"/>
        </w:rPr>
        <w:t xml:space="preserve">ладикавказской железной дороги, имеющей не только экономическое, но и стратегическое значение. </w:t>
      </w:r>
      <w:r>
        <w:rPr>
          <w:rFonts w:ascii="Times New Roman" w:hAnsi="Times New Roman"/>
          <w:sz w:val="26"/>
          <w:highlight w:val="white"/>
        </w:rPr>
        <w:t>В 1875 году станция Батайск была готова принимать поезда.</w:t>
      </w:r>
      <w:r>
        <w:rPr>
          <w:rFonts w:ascii="Times New Roman" w:hAnsi="Times New Roman"/>
          <w:sz w:val="26"/>
          <w:highlight w:val="white"/>
        </w:rPr>
        <w:t xml:space="preserve"> Особое значение станция приобрела в годы Первой мировой и гражданской войн, став связующим звеном между центром и югом России. В 1927 году село </w:t>
      </w:r>
      <w:r>
        <w:rPr>
          <w:rFonts w:ascii="Times New Roman" w:hAnsi="Times New Roman"/>
          <w:sz w:val="26"/>
          <w:highlight w:val="white"/>
        </w:rPr>
        <w:t>Батайское</w:t>
      </w:r>
      <w:r>
        <w:rPr>
          <w:rFonts w:ascii="Times New Roman" w:hAnsi="Times New Roman"/>
          <w:sz w:val="26"/>
          <w:highlight w:val="white"/>
        </w:rPr>
        <w:t xml:space="preserve"> было преобразовано в рабочий поселок, в 1938 году Батайск становится городом областного подчинения.</w:t>
      </w:r>
    </w:p>
    <w:p w14:paraId="2B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Современный Батайск – один из крупнейших транспортных узлов юга России, сохраняющий свой статус «Железнодорожных ворот Кавказа». </w:t>
      </w:r>
      <w:r>
        <w:rPr>
          <w:rFonts w:ascii="Times New Roman" w:hAnsi="Times New Roman"/>
          <w:sz w:val="26"/>
          <w:highlight w:val="white"/>
        </w:rPr>
        <w:t>Это самостоятельный индустриально развитый город. Многочисленные промышленные предприятия, пересечение железнодорожных и автомобильных дорог, развитая инфраструктура, логистический комплекс и большой земельный резерв для жилищного строительства делают Батайск современным и привлекательным местом для жизни.</w:t>
      </w:r>
    </w:p>
    <w:p w14:paraId="2C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Город Батайск по показателям жилищного строительства занимает высокие позиции среди городских округов региона. </w:t>
      </w:r>
      <w:r>
        <w:rPr>
          <w:rFonts w:ascii="Times New Roman" w:hAnsi="Times New Roman"/>
          <w:sz w:val="26"/>
        </w:rPr>
        <w:t>В последние годы наблюдается</w:t>
      </w:r>
      <w:r>
        <w:rPr>
          <w:rFonts w:ascii="Times New Roman" w:hAnsi="Times New Roman"/>
          <w:sz w:val="26"/>
          <w:highlight w:val="white"/>
        </w:rPr>
        <w:t xml:space="preserve"> тенденция к сокращению строительства многоквартирных домов, предпочтение отдается объектам индивидуального жилищного строительства (например, в 2021 году на долю </w:t>
      </w:r>
      <w:r>
        <w:rPr>
          <w:rFonts w:ascii="Times New Roman" w:hAnsi="Times New Roman"/>
          <w:sz w:val="26"/>
          <w:highlight w:val="white"/>
        </w:rPr>
        <w:t>строительства МКД приходится 27</w:t>
      </w:r>
      <w:r>
        <w:rPr>
          <w:rFonts w:ascii="Times New Roman" w:hAnsi="Times New Roman"/>
          <w:sz w:val="26"/>
          <w:highlight w:val="white"/>
        </w:rPr>
        <w:t xml:space="preserve">% от общего объема введенного жилья). </w:t>
      </w:r>
      <w:r>
        <w:rPr>
          <w:rFonts w:ascii="Times New Roman" w:hAnsi="Times New Roman"/>
          <w:sz w:val="26"/>
        </w:rPr>
        <w:t xml:space="preserve">Причинами такого изменения является активное развитие новых коттеджных поселков и </w:t>
      </w:r>
      <w:r>
        <w:rPr>
          <w:rFonts w:ascii="Times New Roman" w:hAnsi="Times New Roman"/>
          <w:sz w:val="26"/>
          <w:highlight w:val="white"/>
        </w:rPr>
        <w:t>строительство новых домовладений вместо старого ветхого жилья</w:t>
      </w:r>
      <w:r>
        <w:rPr>
          <w:rFonts w:ascii="Times New Roman" w:hAnsi="Times New Roman"/>
          <w:sz w:val="26"/>
        </w:rPr>
        <w:t xml:space="preserve"> на территории Батайска. Тем не менее, несмотря на снижение доли многоквартирных домов, в разных районах города возводятся новые жилые комплексы, которые предлагают современные квартиры с развитой инфраструктурой.</w:t>
      </w:r>
    </w:p>
    <w:p w14:paraId="2D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color w:val="0070C0"/>
          <w:sz w:val="26"/>
        </w:rPr>
      </w:pPr>
      <w:r>
        <w:rPr>
          <w:rFonts w:ascii="Times New Roman" w:hAnsi="Times New Roman"/>
          <w:sz w:val="26"/>
        </w:rPr>
        <w:t xml:space="preserve">Демографическая ситуация в </w:t>
      </w:r>
      <w:r>
        <w:rPr>
          <w:rFonts w:ascii="Times New Roman" w:hAnsi="Times New Roman"/>
          <w:sz w:val="26"/>
          <w:highlight w:val="white"/>
        </w:rPr>
        <w:t xml:space="preserve">городе Батайске на сегодняшний день </w:t>
      </w:r>
      <w:r>
        <w:rPr>
          <w:rFonts w:ascii="Times New Roman" w:hAnsi="Times New Roman"/>
          <w:sz w:val="26"/>
        </w:rPr>
        <w:t xml:space="preserve">продолжает оставаться достаточно сложной. До 2020 года (до начала пандемии, связанной с распространением новой </w:t>
      </w:r>
      <w:r>
        <w:rPr>
          <w:rFonts w:ascii="Times New Roman" w:hAnsi="Times New Roman"/>
          <w:sz w:val="26"/>
        </w:rPr>
        <w:t>коронавирусной</w:t>
      </w:r>
      <w:r>
        <w:rPr>
          <w:rFonts w:ascii="Times New Roman" w:hAnsi="Times New Roman"/>
          <w:sz w:val="26"/>
        </w:rPr>
        <w:t xml:space="preserve"> инфекцией COVID-19), города Батайск имел стабильно положительную динамику численности населения. С приходом пандемии </w:t>
      </w:r>
      <w:r>
        <w:rPr>
          <w:rFonts w:ascii="Times New Roman" w:hAnsi="Times New Roman"/>
          <w:sz w:val="26"/>
        </w:rPr>
        <w:t>смертность превысила рождаемость населения в городе. Так же в последнее десятилетие отмечались разнонаправленные тенденции в миграции. В 2014-2017 гг. отмечался прирост числа мигрантов, который в 201</w:t>
      </w:r>
      <w:r>
        <w:rPr>
          <w:rFonts w:ascii="Times New Roman" w:hAnsi="Times New Roman"/>
          <w:sz w:val="26"/>
        </w:rPr>
        <w:t>8 году резко сократился и в 2022</w:t>
      </w:r>
      <w:r>
        <w:rPr>
          <w:rFonts w:ascii="Times New Roman" w:hAnsi="Times New Roman"/>
          <w:sz w:val="26"/>
        </w:rPr>
        <w:t xml:space="preserve"> перешел в отток мигрантов. Вопросы социальной политики являются приоритетными в работе Администрации города </w:t>
      </w:r>
      <w:r>
        <w:rPr>
          <w:rFonts w:ascii="Times New Roman" w:hAnsi="Times New Roman"/>
          <w:sz w:val="26"/>
        </w:rPr>
        <w:t>Батайска.</w:t>
      </w:r>
    </w:p>
    <w:p w14:paraId="2E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Промышленность города Батайска представляет собой ключевую составляющую местной экономики, играя важнейшую роль в обеспечении социально-экономического развития региона. Основу этой отрасли формируют предприятия обрабатывающих производств, производства и распределения электроэнергии, газа и воды, производство общестроительных работ, деятельность сухопутного транспорта и торговля. Ведущую роль в экономике города Батайска играют обрабатывающие производства, обеспечивающие 80,1 % произведенной и отгруженной продукции города. В последние годы экономический и финансовый вектор деятельности города стал ориентироваться на устойчивость и стабильность. Администрация города Батайска осуществляет контроль создания новых рабочих мест за счет развития инвестиционной деятельности и поддержки малого предпринимательства.</w:t>
      </w:r>
    </w:p>
    <w:p w14:paraId="2F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 xml:space="preserve">Развитая транспортная инфраструктура является отличительной особенностью города. </w:t>
      </w:r>
      <w:r>
        <w:rPr>
          <w:rFonts w:ascii="Times New Roman" w:hAnsi="Times New Roman"/>
          <w:sz w:val="26"/>
          <w:highlight w:val="white"/>
        </w:rPr>
        <w:t>По территории города проходит автомобильная магистраль федерального значения М-4</w:t>
      </w:r>
      <w:r>
        <w:rPr>
          <w:rFonts w:ascii="Times New Roman" w:hAnsi="Times New Roman"/>
          <w:sz w:val="26"/>
          <w:highlight w:val="white"/>
        </w:rPr>
        <w:t xml:space="preserve"> «Дон»</w:t>
      </w:r>
      <w:r>
        <w:rPr>
          <w:rFonts w:ascii="Times New Roman" w:hAnsi="Times New Roman"/>
          <w:sz w:val="26"/>
          <w:highlight w:val="white"/>
        </w:rPr>
        <w:t xml:space="preserve">. </w:t>
      </w:r>
      <w:r>
        <w:rPr>
          <w:rFonts w:ascii="Times New Roman" w:hAnsi="Times New Roman"/>
          <w:sz w:val="26"/>
        </w:rPr>
        <w:t xml:space="preserve">Батайск находится на пересечении нескольких значительных железнодорожных и автомобильных магистралей, как федерального, так и регионального значения. Это стратегическое расположение позволяет легко добираться до других городов и регионов страны, что делает его удобным местом для логистических и транспортных компаний. </w:t>
      </w:r>
      <w:r>
        <w:rPr>
          <w:rFonts w:ascii="Times New Roman" w:hAnsi="Times New Roman"/>
          <w:sz w:val="26"/>
        </w:rPr>
        <w:t xml:space="preserve">Городская транспортная система включает в себя 8 муниципальных и 13 межмуниципальных автобусных маршрутов. В настоящее время ведется работа по расширению и оптимизации транспортной сети. Это обеспечивает стабильную и доступную транспортную связь между различными </w:t>
      </w:r>
      <w:r>
        <w:rPr>
          <w:rFonts w:ascii="Times New Roman" w:hAnsi="Times New Roman"/>
          <w:sz w:val="26"/>
        </w:rPr>
        <w:t>микро</w:t>
      </w:r>
      <w:r>
        <w:rPr>
          <w:rFonts w:ascii="Times New Roman" w:hAnsi="Times New Roman"/>
          <w:sz w:val="26"/>
        </w:rPr>
        <w:t>районами города, а также с близлежащими населенными пунктами.</w:t>
      </w:r>
    </w:p>
    <w:p w14:paraId="30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</w:t>
      </w:r>
      <w:r>
        <w:rPr>
          <w:rFonts w:ascii="Times New Roman" w:hAnsi="Times New Roman"/>
          <w:sz w:val="26"/>
        </w:rPr>
        <w:t>женерные сети представлены существующими системами электроснабжения, централизованными системами водоснабжения и водоотведения</w:t>
      </w:r>
      <w:r>
        <w:rPr>
          <w:rFonts w:ascii="Times New Roman" w:hAnsi="Times New Roman"/>
          <w:sz w:val="26"/>
        </w:rPr>
        <w:t>, централизованного теплоснабжения</w:t>
      </w:r>
      <w:r>
        <w:rPr>
          <w:rFonts w:ascii="Times New Roman" w:hAnsi="Times New Roman"/>
          <w:sz w:val="26"/>
        </w:rPr>
        <w:t xml:space="preserve">, сетями газоснабжения и слаботочными сетями. </w:t>
      </w:r>
    </w:p>
    <w:p w14:paraId="31000000">
      <w:pPr>
        <w:pStyle w:val="Style_4"/>
        <w:tabs>
          <w:tab w:leader="none" w:pos="1134" w:val="left"/>
          <w:tab w:leader="none" w:pos="9356" w:val="left"/>
        </w:tabs>
        <w:ind/>
        <w:rPr>
          <w:rFonts w:ascii="Times New Roman" w:hAnsi="Times New Roman"/>
          <w:sz w:val="26"/>
          <w:highlight w:val="yellow"/>
        </w:rPr>
      </w:pPr>
    </w:p>
    <w:p w14:paraId="32000000">
      <w:pPr>
        <w:pStyle w:val="Style_2"/>
        <w:rPr>
          <w:b w:val="0"/>
          <w:sz w:val="26"/>
        </w:rPr>
      </w:pPr>
      <w:r>
        <w:rPr>
          <w:sz w:val="26"/>
        </w:rPr>
        <w:t>СТАТЬЯ 2. ОБОСНОВАНИЕ ПРЕДМЕТА НОРМИРОВАНИЯ – ПЕРЕЧНЯ ОБЛАСТЕЙ, ДЛЯ КОТОРЫХ НОРМАТИВАМИ ГРАДОСТРОИТЕЛЬНОГО ПРОЕКТИРОВАНИЯ УСТАНАВЛИВАЮТСЯ РАСЧЁТНЫЕ ПОКАЗАТЕЛИ, И ПЕРЕЧНЯ ПОКАЗАТЕЛЕЙ</w:t>
      </w:r>
    </w:p>
    <w:p w14:paraId="33000000">
      <w:pPr>
        <w:pStyle w:val="Style_4"/>
        <w:tabs>
          <w:tab w:leader="none" w:pos="851" w:val="left"/>
          <w:tab w:leader="none" w:pos="993" w:val="left"/>
          <w:tab w:leader="none" w:pos="9356" w:val="left"/>
        </w:tabs>
        <w:ind w:firstLine="567" w:left="0" w:right="-20"/>
        <w:rPr>
          <w:rFonts w:ascii="Times New Roman" w:hAnsi="Times New Roman"/>
          <w:sz w:val="26"/>
          <w:highlight w:val="yellow"/>
        </w:rPr>
      </w:pPr>
    </w:p>
    <w:p w14:paraId="34000000">
      <w:pPr>
        <w:pStyle w:val="Style_4"/>
        <w:numPr>
          <w:ilvl w:val="0"/>
          <w:numId w:val="1"/>
        </w:numPr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частью 4 статьи 29.2 Градостроительного кодекса Российской Федерации нормативы градостроительного проектирования городского округа устанавливают совокупность расчётных показателей минимально допустимого уровня обеспеченности объек</w:t>
      </w:r>
      <w:r>
        <w:rPr>
          <w:rFonts w:ascii="Times New Roman" w:hAnsi="Times New Roman"/>
          <w:sz w:val="26"/>
        </w:rPr>
        <w:t>тами местного значения</w:t>
      </w:r>
      <w:r>
        <w:rPr>
          <w:rFonts w:ascii="Times New Roman" w:hAnsi="Times New Roman"/>
          <w:sz w:val="26"/>
        </w:rPr>
        <w:t xml:space="preserve"> городского округа, относящимися к областям, указанным в пункте 1 части 5 статьи 23  Градостроительного кодекса Российской Федерации, объектами благоустройства территории, иными объектами местного значения городского округа населения городского округа и расчётных показателей максимально допустимого уровня территориальной доступности таких объектов для населения городского округа.</w:t>
      </w:r>
    </w:p>
    <w:p w14:paraId="35000000">
      <w:pPr>
        <w:pStyle w:val="Style_4"/>
        <w:numPr>
          <w:ilvl w:val="0"/>
          <w:numId w:val="1"/>
        </w:numPr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пунктом 1 части 5 статьи 23 Градостроительного кодекса Российской Федерации устанавливается следующий перечень областей нормирования:</w:t>
      </w:r>
    </w:p>
    <w:p w14:paraId="36000000">
      <w:pPr>
        <w:pStyle w:val="Style_4"/>
        <w:numPr>
          <w:ilvl w:val="0"/>
          <w:numId w:val="2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электро-, тепло-, газо- и водоснабжение населения, водоотведение;</w:t>
      </w:r>
    </w:p>
    <w:p w14:paraId="37000000">
      <w:pPr>
        <w:pStyle w:val="Style_4"/>
        <w:numPr>
          <w:ilvl w:val="0"/>
          <w:numId w:val="2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автомобильные дороги местного значения;</w:t>
      </w:r>
    </w:p>
    <w:p w14:paraId="38000000">
      <w:pPr>
        <w:pStyle w:val="Style_4"/>
        <w:numPr>
          <w:ilvl w:val="0"/>
          <w:numId w:val="2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физическая культура и массовый спорт, образование, здравоохранение, обработка, утилизация, обезвреживание, размещение твёрдых коммунальных отходов;</w:t>
      </w:r>
    </w:p>
    <w:p w14:paraId="39000000">
      <w:pPr>
        <w:pStyle w:val="Style_4"/>
        <w:numPr>
          <w:ilvl w:val="0"/>
          <w:numId w:val="2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иные области в связи с решением вопросов местного значения городского округа.</w:t>
      </w:r>
    </w:p>
    <w:p w14:paraId="3A000000">
      <w:pPr>
        <w:pStyle w:val="Style_4"/>
        <w:numPr>
          <w:ilvl w:val="0"/>
          <w:numId w:val="1"/>
        </w:numPr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частью 1 статьи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Устава города Батайска</w:t>
      </w:r>
      <w:r>
        <w:rPr>
          <w:rFonts w:ascii="Times New Roman" w:hAnsi="Times New Roman"/>
          <w:sz w:val="26"/>
        </w:rPr>
        <w:t xml:space="preserve">, утверждённого решением </w:t>
      </w:r>
      <w:r>
        <w:rPr>
          <w:rFonts w:ascii="Times New Roman" w:hAnsi="Times New Roman"/>
          <w:sz w:val="26"/>
        </w:rPr>
        <w:t>Батайской</w:t>
      </w:r>
      <w:r>
        <w:rPr>
          <w:rFonts w:ascii="Times New Roman" w:hAnsi="Times New Roman"/>
          <w:sz w:val="26"/>
        </w:rPr>
        <w:t xml:space="preserve"> городской думы от </w:t>
      </w:r>
      <w:r>
        <w:rPr>
          <w:rFonts w:ascii="Times New Roman" w:hAnsi="Times New Roman"/>
          <w:sz w:val="26"/>
        </w:rPr>
        <w:t>18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июня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2024</w:t>
      </w:r>
      <w:r>
        <w:rPr>
          <w:rFonts w:ascii="Times New Roman" w:hAnsi="Times New Roman"/>
          <w:sz w:val="26"/>
        </w:rPr>
        <w:t xml:space="preserve"> года №</w:t>
      </w:r>
      <w:r>
        <w:rPr>
          <w:rFonts w:ascii="Times New Roman" w:hAnsi="Times New Roman"/>
          <w:sz w:val="26"/>
        </w:rPr>
        <w:t>345</w:t>
      </w:r>
      <w:r>
        <w:rPr>
          <w:rFonts w:ascii="Times New Roman" w:hAnsi="Times New Roman"/>
          <w:sz w:val="26"/>
        </w:rPr>
        <w:t xml:space="preserve">, к вопросам местного </w:t>
      </w:r>
      <w:r>
        <w:rPr>
          <w:rFonts w:ascii="Times New Roman" w:hAnsi="Times New Roman"/>
          <w:sz w:val="26"/>
        </w:rPr>
        <w:t>значения муниципального образования в том числе относятся:</w:t>
      </w:r>
    </w:p>
    <w:p w14:paraId="3B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в границах города Батайска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3C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дорожная деятельность в отношении автомобильных дорог местного значения в границах города Батайска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города Батайска,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3D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обеспечение проживающих в городе Батайске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14:paraId="3E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создание условий для предоставления транспортных услуг </w:t>
      </w:r>
      <w:r>
        <w:rPr>
          <w:rFonts w:ascii="Times New Roman" w:hAnsi="Times New Roman"/>
          <w:sz w:val="26"/>
        </w:rPr>
        <w:t>населению</w:t>
      </w:r>
      <w:r>
        <w:rPr>
          <w:rFonts w:ascii="Times New Roman" w:hAnsi="Times New Roman"/>
          <w:sz w:val="26"/>
        </w:rPr>
        <w:t xml:space="preserve"> и организация транспортного обслуживания населения в границах города Батайска</w:t>
      </w:r>
      <w:r>
        <w:rPr>
          <w:rFonts w:ascii="Times New Roman" w:hAnsi="Times New Roman"/>
          <w:sz w:val="26"/>
        </w:rPr>
        <w:t>;</w:t>
      </w:r>
    </w:p>
    <w:p w14:paraId="3F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участие в предупреждении и ликвидации последствий чрезвычайных ситуаций в границах города Батайска;</w:t>
      </w:r>
    </w:p>
    <w:p w14:paraId="40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охраны общественного порядка на территории города Батайска муниципальной милицией;</w:t>
      </w:r>
    </w:p>
    <w:p w14:paraId="41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обеспечение первичных мер пожарной безопасности в границах города Батайска</w:t>
      </w:r>
      <w:r>
        <w:rPr>
          <w:rFonts w:ascii="Times New Roman" w:hAnsi="Times New Roman"/>
          <w:sz w:val="26"/>
        </w:rPr>
        <w:t>;</w:t>
      </w:r>
    </w:p>
    <w:p w14:paraId="42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Ростовской области),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14:paraId="43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создание условий для оказания медицинской помощи населению на территории города Батайска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14:paraId="44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создание условий для обеспечения жителей города Батайска услугами связи, общественного питания, торговли и бытового обслуживания;</w:t>
      </w:r>
    </w:p>
    <w:p w14:paraId="45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библиотечного обслуживания населения, комплектование и обеспечение сохранности библиотечных фондов библиотек города Батайска;</w:t>
      </w:r>
    </w:p>
    <w:p w14:paraId="46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создание условий для организации досуга и обеспечения жителей города Батайска услугами организаций культуры;</w:t>
      </w:r>
    </w:p>
    <w:p w14:paraId="47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обеспечение условий для развития на территории города Батайска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города Батайска;</w:t>
      </w:r>
    </w:p>
    <w:p w14:paraId="48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создание условий для массового отдыха жителей города </w:t>
      </w:r>
      <w:r>
        <w:rPr>
          <w:rFonts w:ascii="Times New Roman" w:hAnsi="Times New Roman"/>
          <w:sz w:val="26"/>
        </w:rPr>
        <w:t>Батайска</w:t>
      </w:r>
      <w:r>
        <w:rPr>
          <w:rFonts w:ascii="Times New Roman" w:hAnsi="Times New Roman"/>
          <w:sz w:val="26"/>
        </w:rPr>
        <w:t xml:space="preserve"> и организация обустройства мест массового отдыха населения;</w:t>
      </w:r>
    </w:p>
    <w:p w14:paraId="49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ритуальных услуг и содержание мест захоронения;</w:t>
      </w:r>
    </w:p>
    <w:p w14:paraId="4A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14:paraId="4B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и осуществление мероприятий по территориальной обороне и гражданской обороне, защите населения и территории города Батайска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4C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города Батайска;</w:t>
      </w:r>
    </w:p>
    <w:p w14:paraId="4D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города Батайска;</w:t>
      </w:r>
    </w:p>
    <w:p w14:paraId="4E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осуществление мероприятий по обеспечению безопасности людей на водных объектах, охране их жизни и здоровья;</w:t>
      </w:r>
    </w:p>
    <w:p w14:paraId="4F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городе Батайске.</w:t>
      </w:r>
    </w:p>
    <w:p w14:paraId="50000000">
      <w:pPr>
        <w:pStyle w:val="Style_4"/>
        <w:tabs>
          <w:tab w:leader="none" w:pos="851" w:val="left"/>
          <w:tab w:leader="none" w:pos="993" w:val="left"/>
          <w:tab w:leader="none" w:pos="9356" w:val="left"/>
        </w:tabs>
        <w:ind w:firstLine="567" w:left="0" w:right="-20"/>
        <w:rPr>
          <w:rFonts w:ascii="Arial" w:hAnsi="Arial"/>
          <w:color w:val="0070C0"/>
          <w:sz w:val="26"/>
          <w:highlight w:val="yellow"/>
        </w:rPr>
      </w:pPr>
    </w:p>
    <w:p w14:paraId="51000000">
      <w:pPr>
        <w:pStyle w:val="Style_4"/>
        <w:tabs>
          <w:tab w:leader="none" w:pos="851" w:val="left"/>
          <w:tab w:leader="none" w:pos="993" w:val="left"/>
          <w:tab w:leader="none" w:pos="9356" w:val="left"/>
        </w:tabs>
        <w:ind w:firstLine="567" w:left="0" w:right="-20"/>
        <w:rPr>
          <w:rFonts w:ascii="Arial" w:hAnsi="Arial"/>
          <w:color w:val="0070C0"/>
          <w:sz w:val="26"/>
          <w:highlight w:val="yellow"/>
        </w:rPr>
      </w:pPr>
    </w:p>
    <w:p w14:paraId="52000000">
      <w:pPr>
        <w:sectPr>
          <w:footerReference r:id="rId5" w:type="default"/>
          <w:pgSz w:h="16840" w:orient="portrait" w:w="11900"/>
          <w:pgMar w:bottom="851" w:footer="0" w:gutter="0" w:header="720" w:left="1134" w:right="580" w:top="851"/>
        </w:sectPr>
      </w:pPr>
    </w:p>
    <w:p w14:paraId="53000000">
      <w:pPr>
        <w:pStyle w:val="Style_2"/>
        <w:rPr>
          <w:sz w:val="26"/>
        </w:rPr>
      </w:pPr>
      <w:r>
        <w:rPr>
          <w:sz w:val="26"/>
        </w:rPr>
        <w:t>СТАТЬЯ 3.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ПО КАЖДОЙ ИЗ ОБЛАСТЕЙ НОРМИРОВАНИЯ</w:t>
      </w:r>
    </w:p>
    <w:p w14:paraId="5400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567" w:left="0" w:right="112"/>
        <w:rPr>
          <w:rFonts w:ascii="Times New Roman" w:hAnsi="Times New Roman"/>
          <w:sz w:val="26"/>
        </w:rPr>
      </w:pPr>
    </w:p>
    <w:p w14:paraId="5500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Прогнозные п</w:t>
      </w:r>
      <w:r>
        <w:rPr>
          <w:rFonts w:ascii="Times New Roman" w:hAnsi="Times New Roman"/>
          <w:sz w:val="26"/>
        </w:rPr>
        <w:t xml:space="preserve">оказатели численности населения городского округа </w:t>
      </w:r>
      <w:r>
        <w:rPr>
          <w:rFonts w:ascii="Times New Roman" w:hAnsi="Times New Roman"/>
          <w:sz w:val="26"/>
        </w:rPr>
        <w:t xml:space="preserve">рассчитаны </w:t>
      </w:r>
      <w:r>
        <w:rPr>
          <w:rFonts w:ascii="Times New Roman" w:hAnsi="Times New Roman"/>
          <w:sz w:val="26"/>
        </w:rPr>
        <w:t xml:space="preserve">в соответствии с Письмом </w:t>
      </w:r>
      <w:r>
        <w:rPr>
          <w:rFonts w:ascii="Times New Roman" w:hAnsi="Times New Roman"/>
          <w:sz w:val="26"/>
        </w:rPr>
        <w:t>РОСТОВСТАТа</w:t>
      </w:r>
      <w:r>
        <w:rPr>
          <w:rFonts w:ascii="Times New Roman" w:hAnsi="Times New Roman"/>
          <w:sz w:val="26"/>
        </w:rPr>
        <w:t xml:space="preserve"> № НИ-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>62-01/</w:t>
      </w:r>
      <w:r>
        <w:rPr>
          <w:rFonts w:ascii="Times New Roman" w:hAnsi="Times New Roman"/>
          <w:sz w:val="26"/>
        </w:rPr>
        <w:t>1143-ДР от 22.08.2024</w:t>
      </w:r>
      <w:r>
        <w:rPr>
          <w:rFonts w:ascii="Times New Roman" w:hAnsi="Times New Roman"/>
          <w:sz w:val="26"/>
        </w:rPr>
        <w:t xml:space="preserve"> на основании анализа и расчётов, приведённых в таблицах 3.1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3.2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3.3</w:t>
      </w:r>
      <w:r>
        <w:rPr>
          <w:rFonts w:ascii="Times New Roman" w:hAnsi="Times New Roman"/>
          <w:sz w:val="26"/>
        </w:rPr>
        <w:t>.</w:t>
      </w:r>
    </w:p>
    <w:p w14:paraId="5600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3.1</w:t>
      </w:r>
    </w:p>
    <w:p w14:paraId="57000000">
      <w:pPr>
        <w:rPr>
          <w:rFonts w:ascii="Times New Roman" w:hAnsi="Times New Roman"/>
          <w:b w:val="1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>
        <w:trPr>
          <w:tblHeader/>
        </w:trPr>
        <w:tc>
          <w:tcPr>
            <w:tcW w:type="dxa" w:w="154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Оценка численности населения города Батайска за период с 2009 по 2023 </w:t>
            </w:r>
            <w:r>
              <w:rPr>
                <w:rFonts w:ascii="Times New Roman" w:hAnsi="Times New Roman"/>
                <w:sz w:val="16"/>
              </w:rPr>
              <w:t>гг</w:t>
            </w:r>
            <w:r>
              <w:rPr>
                <w:rFonts w:ascii="Times New Roman" w:hAnsi="Times New Roman"/>
                <w:sz w:val="16"/>
              </w:rPr>
              <w:t xml:space="preserve"> (статические данные)</w:t>
            </w:r>
          </w:p>
        </w:tc>
      </w:tr>
      <w:tr>
        <w:trPr>
          <w:tblHeader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6A000000">
      <w:pPr>
        <w:pStyle w:val="Style_4"/>
        <w:tabs>
          <w:tab w:leader="none" w:pos="851" w:val="left"/>
          <w:tab w:leader="none" w:pos="1134" w:val="left"/>
          <w:tab w:leader="none" w:pos="1276" w:val="left"/>
          <w:tab w:leader="none" w:pos="9356" w:val="left"/>
        </w:tabs>
        <w:ind w:firstLine="0" w:left="0"/>
        <w:jc w:val="center"/>
        <w:rPr>
          <w:rFonts w:ascii="Times New Roman" w:hAnsi="Times New Roman"/>
          <w:b w:val="1"/>
          <w:color w:val="0070C0"/>
          <w:sz w:val="2"/>
          <w:highlight w:val="yellow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>
        <w:trPr>
          <w:tblHeader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Численность</w:t>
            </w:r>
            <w:r>
              <w:rPr>
                <w:rFonts w:ascii="Times New Roman" w:hAnsi="Times New Roman"/>
                <w:sz w:val="16"/>
              </w:rPr>
              <w:t xml:space="preserve"> населения, </w:t>
            </w: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106 468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109 255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112 398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114 337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115 696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117 405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119 807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122 247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124 705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126 769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127 654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127 919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127 444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126 790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125 523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Изменение </w:t>
            </w:r>
            <w:r>
              <w:rPr>
                <w:rFonts w:ascii="Times New Roman" w:hAnsi="Times New Roman"/>
                <w:sz w:val="16"/>
              </w:rPr>
              <w:t>численности</w:t>
            </w:r>
            <w:r>
              <w:rPr>
                <w:rFonts w:ascii="Times New Roman" w:hAnsi="Times New Roman"/>
                <w:sz w:val="16"/>
              </w:rPr>
              <w:t xml:space="preserve"> населения, </w:t>
            </w: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widowControl w:val="1"/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2 787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3 143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1 939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1 359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1 709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2 402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2 440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2 458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2 064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-475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-654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-1 267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1361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численности</w:t>
            </w:r>
            <w:r>
              <w:rPr>
                <w:rFonts w:ascii="Times New Roman" w:hAnsi="Times New Roman"/>
                <w:sz w:val="16"/>
              </w:rPr>
              <w:t xml:space="preserve"> населения, %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widowControl w:val="1"/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2,55%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2,80%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1,70%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1,17%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1,46%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1,97%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1,63%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0,69%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0,21%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-0,37%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-0,52%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-1,01%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widowControl w:val="1"/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1,16%</w:t>
            </w:r>
          </w:p>
        </w:tc>
      </w:tr>
    </w:tbl>
    <w:p w14:paraId="AF000000">
      <w:pPr>
        <w:pStyle w:val="Style_4"/>
        <w:tabs>
          <w:tab w:leader="none" w:pos="851" w:val="left"/>
          <w:tab w:leader="none" w:pos="1134" w:val="left"/>
          <w:tab w:leader="none" w:pos="1276" w:val="left"/>
          <w:tab w:leader="none" w:pos="9356" w:val="left"/>
        </w:tabs>
        <w:ind w:firstLine="0" w:left="0"/>
        <w:jc w:val="center"/>
        <w:rPr>
          <w:rFonts w:ascii="Times New Roman" w:hAnsi="Times New Roman"/>
          <w:b w:val="1"/>
          <w:color w:val="0070C0"/>
          <w:sz w:val="26"/>
        </w:rPr>
      </w:pPr>
    </w:p>
    <w:p w14:paraId="B000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3.2</w:t>
      </w:r>
    </w:p>
    <w:p w14:paraId="B1000000">
      <w:pPr>
        <w:rPr>
          <w:rFonts w:ascii="Times New Roman" w:hAnsi="Times New Roman"/>
          <w:b w:val="1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>
        <w:trPr>
          <w:tblHeader/>
        </w:trPr>
        <w:tc>
          <w:tcPr>
            <w:tcW w:type="dxa" w:w="154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Оценка </w:t>
            </w:r>
            <w:r>
              <w:rPr>
                <w:rFonts w:ascii="Times New Roman" w:hAnsi="Times New Roman"/>
                <w:sz w:val="16"/>
              </w:rPr>
              <w:t xml:space="preserve">прироста/убыли </w:t>
            </w:r>
            <w:r>
              <w:rPr>
                <w:rFonts w:ascii="Times New Roman" w:hAnsi="Times New Roman"/>
                <w:sz w:val="16"/>
              </w:rPr>
              <w:t>населения города Батайска за период с 20</w:t>
            </w:r>
            <w:r>
              <w:rPr>
                <w:rFonts w:ascii="Times New Roman" w:hAnsi="Times New Roman"/>
                <w:sz w:val="16"/>
              </w:rPr>
              <w:t>08 по 2022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гг</w:t>
            </w:r>
            <w:r>
              <w:rPr>
                <w:rFonts w:ascii="Times New Roman" w:hAnsi="Times New Roman"/>
                <w:sz w:val="16"/>
              </w:rPr>
              <w:t xml:space="preserve"> (статические данные)</w:t>
            </w:r>
          </w:p>
        </w:tc>
      </w:tr>
      <w:tr>
        <w:trPr>
          <w:tblHeader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2008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2009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2020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2021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2022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C4000000">
      <w:pPr>
        <w:pStyle w:val="Style_4"/>
        <w:tabs>
          <w:tab w:leader="none" w:pos="851" w:val="left"/>
          <w:tab w:leader="none" w:pos="1134" w:val="left"/>
          <w:tab w:leader="none" w:pos="1276" w:val="left"/>
          <w:tab w:leader="none" w:pos="9356" w:val="left"/>
        </w:tabs>
        <w:ind w:firstLine="0" w:left="0"/>
        <w:jc w:val="center"/>
        <w:rPr>
          <w:rFonts w:ascii="Times New Roman" w:hAnsi="Times New Roman"/>
          <w:b w:val="1"/>
          <w:color w:val="0070C0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>
        <w:trPr>
          <w:tblHeader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Естественный прирост/убыль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-139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-140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-656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-251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151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Миграционный прирост/убыль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1 155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1 975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2 164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1 818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1 413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1 950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1 902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1 985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1 737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-315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-1 016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1 090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Общий прирост/убыль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1 016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1 939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2 294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1 939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1 359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1 709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2 402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2 440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2 458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2 064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-455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-665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-1 267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1 241</w:t>
            </w:r>
          </w:p>
        </w:tc>
      </w:tr>
    </w:tbl>
    <w:p w14:paraId="09010000">
      <w:pPr>
        <w:pStyle w:val="Style_4"/>
        <w:tabs>
          <w:tab w:leader="none" w:pos="851" w:val="left"/>
          <w:tab w:leader="none" w:pos="1134" w:val="left"/>
          <w:tab w:leader="none" w:pos="1276" w:val="left"/>
          <w:tab w:leader="none" w:pos="9356" w:val="left"/>
        </w:tabs>
        <w:ind w:firstLine="0" w:left="0"/>
        <w:jc w:val="center"/>
        <w:rPr>
          <w:rFonts w:ascii="Times New Roman" w:hAnsi="Times New Roman"/>
          <w:b w:val="1"/>
          <w:color w:val="0070C0"/>
          <w:sz w:val="26"/>
        </w:rPr>
      </w:pPr>
    </w:p>
    <w:p w14:paraId="0A01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3.3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3"/>
        <w:gridCol w:w="775"/>
        <w:gridCol w:w="775"/>
        <w:gridCol w:w="776"/>
        <w:gridCol w:w="775"/>
        <w:gridCol w:w="776"/>
        <w:gridCol w:w="775"/>
        <w:gridCol w:w="776"/>
        <w:gridCol w:w="775"/>
        <w:gridCol w:w="776"/>
        <w:gridCol w:w="775"/>
        <w:gridCol w:w="776"/>
        <w:gridCol w:w="775"/>
        <w:gridCol w:w="776"/>
        <w:gridCol w:w="775"/>
        <w:gridCol w:w="776"/>
        <w:gridCol w:w="775"/>
        <w:gridCol w:w="776"/>
      </w:tblGrid>
      <w:tr>
        <w:trPr>
          <w:tblHeader/>
        </w:trPr>
        <w:tc>
          <w:tcPr>
            <w:tcW w:type="dxa" w:w="15446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Оценка численности населения города Батайска за период с 2024 по 2040 </w:t>
            </w:r>
            <w:r>
              <w:rPr>
                <w:rFonts w:ascii="Times New Roman" w:hAnsi="Times New Roman"/>
                <w:sz w:val="16"/>
              </w:rPr>
              <w:t>гг</w:t>
            </w:r>
            <w:r>
              <w:rPr>
                <w:rFonts w:ascii="Times New Roman" w:hAnsi="Times New Roman"/>
                <w:sz w:val="16"/>
              </w:rPr>
              <w:t xml:space="preserve"> (прогнозные данные)</w:t>
            </w:r>
          </w:p>
        </w:tc>
      </w:tr>
      <w:tr>
        <w:trPr>
          <w:tblHeader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2026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2027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2028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2029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2031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2032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2033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2034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2035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2036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2037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2038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2039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2040</w:t>
            </w:r>
          </w:p>
        </w:tc>
      </w:tr>
    </w:tbl>
    <w:p w14:paraId="1E010000">
      <w:pPr>
        <w:pStyle w:val="Style_4"/>
        <w:tabs>
          <w:tab w:leader="none" w:pos="851" w:val="left"/>
          <w:tab w:leader="none" w:pos="1134" w:val="left"/>
          <w:tab w:leader="none" w:pos="1276" w:val="left"/>
          <w:tab w:leader="none" w:pos="9356" w:val="left"/>
        </w:tabs>
        <w:ind w:firstLine="0" w:left="0"/>
        <w:jc w:val="center"/>
        <w:rPr>
          <w:rFonts w:ascii="Times New Roman" w:hAnsi="Times New Roman"/>
          <w:b w:val="1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3"/>
        <w:gridCol w:w="775"/>
        <w:gridCol w:w="775"/>
        <w:gridCol w:w="776"/>
        <w:gridCol w:w="775"/>
        <w:gridCol w:w="776"/>
        <w:gridCol w:w="775"/>
        <w:gridCol w:w="776"/>
        <w:gridCol w:w="775"/>
        <w:gridCol w:w="776"/>
        <w:gridCol w:w="775"/>
        <w:gridCol w:w="776"/>
        <w:gridCol w:w="775"/>
        <w:gridCol w:w="776"/>
        <w:gridCol w:w="775"/>
        <w:gridCol w:w="776"/>
        <w:gridCol w:w="775"/>
        <w:gridCol w:w="776"/>
      </w:tblGrid>
      <w:tr>
        <w:trPr>
          <w:tblHeader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Численность населения, </w:t>
            </w: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126 824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128 125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129 425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130 726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132 027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133 328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134 629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135 929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137 230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138 531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139 832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141 132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142 433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143 734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145 035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146 336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147 636</w:t>
            </w:r>
          </w:p>
        </w:tc>
      </w:tr>
    </w:tbl>
    <w:p w14:paraId="4301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рогнозный прирост численности</w:t>
      </w:r>
      <w:r>
        <w:rPr>
          <w:rFonts w:ascii="Times New Roman" w:hAnsi="Times New Roman"/>
          <w:sz w:val="26"/>
        </w:rPr>
        <w:t xml:space="preserve"> населения городского округа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 xml:space="preserve">размере </w:t>
      </w:r>
      <w:r>
        <w:rPr>
          <w:rFonts w:ascii="Times New Roman" w:hAnsi="Times New Roman"/>
          <w:sz w:val="26"/>
        </w:rPr>
        <w:t>300 человек в год установлен</w:t>
      </w:r>
      <w:r>
        <w:rPr>
          <w:rFonts w:ascii="Times New Roman" w:hAnsi="Times New Roman"/>
          <w:sz w:val="26"/>
        </w:rPr>
        <w:t xml:space="preserve"> в соответствии с таблицей 6 стратегии социально-экономического развития города Батайск на период до 2030 года, утверждённой решением Батайской городской Думы от 05.12.2018 №38</w:t>
      </w:r>
      <w:r>
        <w:rPr>
          <w:rFonts w:ascii="Times New Roman" w:hAnsi="Times New Roman"/>
          <w:sz w:val="26"/>
        </w:rPr>
        <w:t>.</w:t>
      </w:r>
    </w:p>
    <w:p w14:paraId="4401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Прогнозные п</w:t>
      </w:r>
      <w:r>
        <w:rPr>
          <w:rFonts w:ascii="Times New Roman" w:hAnsi="Times New Roman"/>
          <w:sz w:val="26"/>
        </w:rPr>
        <w:t xml:space="preserve">оказатели численности населения городского округа </w:t>
      </w:r>
      <w:r>
        <w:rPr>
          <w:rFonts w:ascii="Times New Roman" w:hAnsi="Times New Roman"/>
          <w:sz w:val="26"/>
        </w:rPr>
        <w:t>установлены в соответствии с прогнозным приростом численности</w:t>
      </w:r>
      <w:r>
        <w:rPr>
          <w:rFonts w:ascii="Times New Roman" w:hAnsi="Times New Roman"/>
          <w:sz w:val="26"/>
        </w:rPr>
        <w:t xml:space="preserve"> населения городского округа</w:t>
      </w:r>
      <w:r>
        <w:rPr>
          <w:rFonts w:ascii="Times New Roman" w:hAnsi="Times New Roman"/>
          <w:sz w:val="26"/>
        </w:rPr>
        <w:t>.</w:t>
      </w:r>
    </w:p>
    <w:p w14:paraId="4501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Нормативные показатели плотности застройки функциональных зон установлены</w:t>
      </w:r>
      <w:r>
        <w:rPr>
          <w:rFonts w:ascii="Times New Roman" w:hAnsi="Times New Roman"/>
          <w:sz w:val="26"/>
        </w:rPr>
        <w:t xml:space="preserve"> в соответствии с СП 42.13330.</w:t>
      </w:r>
    </w:p>
    <w:p w14:paraId="4601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Перечень объектов обслуживания населения в зависимости от спроса населения, включая объекты для проектирования жилых микрорайонов (кварталов), и их допустимое размеще</w:t>
      </w:r>
      <w:r>
        <w:rPr>
          <w:rFonts w:ascii="Times New Roman" w:hAnsi="Times New Roman"/>
          <w:sz w:val="26"/>
        </w:rPr>
        <w:t xml:space="preserve">ние установлены в соответствии </w:t>
      </w:r>
      <w:r>
        <w:rPr>
          <w:rFonts w:ascii="Times New Roman" w:hAnsi="Times New Roman"/>
          <w:sz w:val="26"/>
        </w:rPr>
        <w:t>с СП 476.1325800 на основании анализа существующей градостроительной ситуации.</w:t>
      </w:r>
    </w:p>
    <w:p w14:paraId="4701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Предельные значения расчётных показателей минимально допустимого уровня обеспеченности и максимально допустимого уровня </w:t>
      </w:r>
      <w:r>
        <w:rPr>
          <w:rFonts w:ascii="Times New Roman" w:hAnsi="Times New Roman"/>
          <w:sz w:val="26"/>
        </w:rPr>
        <w:t xml:space="preserve">территориальной доступности объектами образования установлены в соответствии с СП 42.13330, Методическим пособием «Проектирование зданий дошкольных образовательных организаций» (Москва, 2018) Федерального автономного учреждения «Федеральный центр нормирования, стандартизации и оценки соответствия в строительстве», </w:t>
      </w:r>
      <w:r>
        <w:rPr>
          <w:rFonts w:ascii="Times New Roman" w:hAnsi="Times New Roman"/>
          <w:sz w:val="26"/>
        </w:rPr>
        <w:t>Письмами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РОСТОВСТАТа</w:t>
      </w:r>
      <w:r>
        <w:rPr>
          <w:rFonts w:ascii="Times New Roman" w:hAnsi="Times New Roman"/>
          <w:sz w:val="26"/>
        </w:rPr>
        <w:t xml:space="preserve"> №НИ-</w:t>
      </w:r>
      <w:r>
        <w:rPr>
          <w:rFonts w:ascii="Times New Roman" w:hAnsi="Times New Roman"/>
          <w:sz w:val="26"/>
        </w:rPr>
        <w:t>Т62-01/1161-ДР от 27.08.2024 и №НИ-Т62-01/1143-ДР от 22.08.2024, Письмами</w:t>
      </w:r>
      <w:r>
        <w:rPr>
          <w:rFonts w:ascii="Times New Roman" w:hAnsi="Times New Roman"/>
          <w:sz w:val="26"/>
        </w:rPr>
        <w:t xml:space="preserve"> Управления образования города </w:t>
      </w:r>
      <w:r>
        <w:rPr>
          <w:rFonts w:ascii="Times New Roman" w:hAnsi="Times New Roman"/>
          <w:sz w:val="26"/>
        </w:rPr>
        <w:t>Батайска №51.11/1910 от 26.08.2024 и №51.11/1909 от 26.08.2024</w:t>
      </w:r>
      <w:r>
        <w:rPr>
          <w:rFonts w:ascii="Times New Roman" w:hAnsi="Times New Roman"/>
          <w:sz w:val="26"/>
        </w:rPr>
        <w:t xml:space="preserve">, на </w:t>
      </w:r>
      <w:r>
        <w:rPr>
          <w:rFonts w:ascii="Times New Roman" w:hAnsi="Times New Roman"/>
          <w:sz w:val="26"/>
        </w:rPr>
        <w:t xml:space="preserve">основании анализа и расчётов, приведённых в </w:t>
      </w:r>
      <w:r>
        <w:rPr>
          <w:rFonts w:ascii="Times New Roman" w:hAnsi="Times New Roman"/>
          <w:sz w:val="26"/>
        </w:rPr>
        <w:t>Примечаниях и таблицах 3.3 – 3.9</w:t>
      </w:r>
      <w:r>
        <w:rPr>
          <w:rFonts w:ascii="Times New Roman" w:hAnsi="Times New Roman"/>
          <w:sz w:val="26"/>
        </w:rPr>
        <w:t xml:space="preserve">. </w:t>
      </w:r>
    </w:p>
    <w:p w14:paraId="4801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Примечания:</w:t>
      </w:r>
    </w:p>
    <w:p w14:paraId="49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Начальное общее образование (1 – 4 </w:t>
      </w:r>
      <w:r>
        <w:rPr>
          <w:rFonts w:ascii="Times New Roman" w:hAnsi="Times New Roman"/>
          <w:sz w:val="26"/>
        </w:rPr>
        <w:t>кл</w:t>
      </w:r>
      <w:r>
        <w:rPr>
          <w:rFonts w:ascii="Times New Roman" w:hAnsi="Times New Roman"/>
          <w:sz w:val="26"/>
        </w:rPr>
        <w:t xml:space="preserve">.) принято в соответствии с Приказом </w:t>
      </w:r>
      <w:r>
        <w:rPr>
          <w:rFonts w:ascii="Times New Roman" w:hAnsi="Times New Roman"/>
          <w:sz w:val="26"/>
        </w:rPr>
        <w:t>Минпросвещения</w:t>
      </w:r>
      <w:r>
        <w:rPr>
          <w:rFonts w:ascii="Times New Roman" w:hAnsi="Times New Roman"/>
          <w:sz w:val="26"/>
        </w:rPr>
        <w:t xml:space="preserve"> России </w:t>
      </w:r>
      <w:r>
        <w:rPr>
          <w:rFonts w:ascii="Times New Roman" w:hAnsi="Times New Roman"/>
          <w:sz w:val="26"/>
        </w:rPr>
        <w:t>от 31.05.2021 N 286</w:t>
      </w:r>
    </w:p>
    <w:p w14:paraId="4A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Основное общее образование (5 – 9 </w:t>
      </w:r>
      <w:r>
        <w:rPr>
          <w:rFonts w:ascii="Times New Roman" w:hAnsi="Times New Roman"/>
          <w:sz w:val="26"/>
        </w:rPr>
        <w:t>кл</w:t>
      </w:r>
      <w:r>
        <w:rPr>
          <w:rFonts w:ascii="Times New Roman" w:hAnsi="Times New Roman"/>
          <w:sz w:val="26"/>
        </w:rPr>
        <w:t xml:space="preserve">.) принято в соответствии с Приказом </w:t>
      </w:r>
      <w:r>
        <w:rPr>
          <w:rFonts w:ascii="Times New Roman" w:hAnsi="Times New Roman"/>
          <w:sz w:val="26"/>
        </w:rPr>
        <w:t>Минпросвещения</w:t>
      </w:r>
      <w:r>
        <w:rPr>
          <w:rFonts w:ascii="Times New Roman" w:hAnsi="Times New Roman"/>
          <w:sz w:val="26"/>
        </w:rPr>
        <w:t xml:space="preserve"> России от 31.05.2021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N 287</w:t>
      </w:r>
    </w:p>
    <w:p w14:paraId="4B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Среднее общее образование (10 – 11 </w:t>
      </w:r>
      <w:r>
        <w:rPr>
          <w:rFonts w:ascii="Times New Roman" w:hAnsi="Times New Roman"/>
          <w:sz w:val="26"/>
        </w:rPr>
        <w:t>кл</w:t>
      </w:r>
      <w:r>
        <w:rPr>
          <w:rFonts w:ascii="Times New Roman" w:hAnsi="Times New Roman"/>
          <w:sz w:val="26"/>
        </w:rPr>
        <w:t xml:space="preserve">.) принято в соответствии с Приказом </w:t>
      </w:r>
      <w:r>
        <w:rPr>
          <w:rFonts w:ascii="Times New Roman" w:hAnsi="Times New Roman"/>
          <w:sz w:val="26"/>
        </w:rPr>
        <w:t>Минобрнауки</w:t>
      </w:r>
      <w:r>
        <w:rPr>
          <w:rFonts w:ascii="Times New Roman" w:hAnsi="Times New Roman"/>
          <w:sz w:val="26"/>
        </w:rPr>
        <w:t xml:space="preserve"> России от 17.05.2012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N 413</w:t>
      </w:r>
    </w:p>
    <w:p w14:paraId="4C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Процентное соотношение учащихся в классах общеобразовательных организаций установлено в соответствии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с Приложением «Д» СП 42.13330 исходя из следующей формулы: </w:t>
      </w:r>
    </w:p>
    <w:p w14:paraId="4D010000">
      <w:pPr>
        <w:pStyle w:val="Style_4"/>
        <w:tabs>
          <w:tab w:leader="none" w:pos="851" w:val="left"/>
        </w:tabs>
        <w:ind w:firstLine="0" w:left="567" w:right="215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4*Х + 5*Х + 2*Х*0,75 = 100%,</w:t>
      </w:r>
    </w:p>
    <w:p w14:paraId="4E010000">
      <w:pPr>
        <w:ind w:firstLine="567" w:left="0" w:right="215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10,5*Х = 100%</w:t>
      </w:r>
    </w:p>
    <w:p w14:paraId="4F010000">
      <w:pPr>
        <w:ind w:firstLine="567" w:left="0" w:right="215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 = 100% / 10,5 = 9,52%</w:t>
      </w:r>
    </w:p>
    <w:p w14:paraId="50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где Х – среднеарифметическое значение процента детей, учащихся в одном классе общеобразовательной организации, от общего количества детей, учащихся в общеобразовательной организации, тогда: </w:t>
      </w:r>
    </w:p>
    <w:p w14:paraId="51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38% </w:t>
      </w:r>
      <w:r>
        <w:rPr>
          <w:rFonts w:ascii="Times New Roman" w:hAnsi="Times New Roman"/>
          <w:sz w:val="26"/>
        </w:rPr>
        <w:t>– учащихся в классах начального общего образования</w:t>
      </w:r>
    </w:p>
    <w:p w14:paraId="52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48% – учащихся в классах основного общего образования</w:t>
      </w:r>
    </w:p>
    <w:p w14:paraId="53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14% – учащихся в </w:t>
      </w:r>
      <w:r>
        <w:rPr>
          <w:rFonts w:ascii="Times New Roman" w:hAnsi="Times New Roman"/>
          <w:sz w:val="26"/>
        </w:rPr>
        <w:t>классах среднего общего образования</w:t>
      </w:r>
    </w:p>
    <w:p w14:paraId="54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Размеры площади игровой площадки на одного ребёнка приняты в соответствии с п. 6.1.8 СП 252.1325800. </w:t>
      </w:r>
    </w:p>
    <w:p w14:paraId="55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Минимальная вместимость дошкольных образовательных организаций, размещаемых (размещённых) в помещениях многоквартирного дома установлена в соответствии со сложившейся практикой размещения частных дошкольных образовательных организаций из учёта 15 мест в одной группе.</w:t>
      </w:r>
    </w:p>
    <w:p w14:paraId="5601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3.3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Дошкольные образовательные организации. Ясельные группы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Статистические данные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6A01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  <w:tblHeader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0 до 2 лет включительно,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3 552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3 747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3 925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4 277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4 722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5 270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5 682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5 836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5 922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5 726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5 460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5 129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4 954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3 974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3 909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4 806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управления образования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детей, посещающих ясельные группы 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928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Аналитические данные</w:t>
            </w:r>
          </w:p>
        </w:tc>
      </w:tr>
      <w:tr>
        <w:trPr>
          <w:trHeight w:hRule="atLeast" w:val="273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 в возрасте от 0 до 2 дет включительно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3,34%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3,43%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3,49%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3,74%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4,49%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4,28%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3,89%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3,13%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3,11%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3,98%</w:t>
            </w:r>
          </w:p>
        </w:tc>
      </w:tr>
      <w:tr>
        <w:trPr>
          <w:trHeight w:hRule="atLeast" w:val="179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-0,75%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-0,02%</w:t>
            </w:r>
          </w:p>
        </w:tc>
      </w:tr>
      <w:tr>
        <w:trPr>
          <w:trHeight w:hRule="atLeast" w:val="28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0 до 2 лет включительно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33,36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34,30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34,92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37,41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40,81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44,89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47,43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47,74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47,49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45,17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42,77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38,87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31,34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31,14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39,85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0,93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2,49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3,41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-2,32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-2,40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-2,68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-7,53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-0,16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ясельные группы,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0,73%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0,01%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ясельные группы,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7,80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7,27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7,05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7,33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7,50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7,33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-0,53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0,06</w:t>
            </w:r>
          </w:p>
        </w:tc>
      </w:tr>
      <w:tr>
        <w:trPr>
          <w:trHeight w:hRule="atLeast" w:val="262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ясельные группы, к количеству детей в возрасте от 0 до 2 лет,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15,10%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17,27%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17,00%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17,84%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18,15%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23,40%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24,10%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18,98%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5,26%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1,50%</w:t>
            </w:r>
          </w:p>
        </w:tc>
      </w:tr>
    </w:tbl>
    <w:p w14:paraId="4A02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</w:p>
    <w:p w14:paraId="4B02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3.4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Дошкольные образовательные организации. Группы детского сада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Статистические данные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5F02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  <w:tblHeader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детей в возрасте от 3 до 6 лет включительно, чел. 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4 338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4 627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4 894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4 999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5 024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5 192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5 656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6 319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6 984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7 647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7 998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7 965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7 737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6 744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6 159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6 152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управления образования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группы детского сада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6 028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6 248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6 314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6 411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6 411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6 429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6 017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6 265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Аналитические данные</w:t>
            </w:r>
          </w:p>
        </w:tc>
      </w:tr>
      <w:tr>
        <w:trPr>
          <w:trHeight w:hRule="atLeast" w:val="273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 в возрасте от 3 до 6 дет включительно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4,24%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4,42%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5,17%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5,60%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6,27%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6,23%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4,91%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5,07%</w:t>
            </w:r>
          </w:p>
        </w:tc>
      </w:tr>
      <w:tr>
        <w:trPr>
          <w:trHeight w:hRule="atLeast" w:val="179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-0,75%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-0,41%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0,06%</w:t>
            </w:r>
          </w:p>
        </w:tc>
      </w:tr>
      <w:tr>
        <w:trPr>
          <w:trHeight w:hRule="atLeast" w:val="28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3 до 6 лет включительно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40,74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42,35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43,54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43,72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43,42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44,22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51,69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60,32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62,65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62,27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60,71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53,19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49,07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50,74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2,99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4,48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2,33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-1,56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-7,52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-4,12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0,59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группы детского сада,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4,83%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4,93%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4,95%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4,94%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-0,01%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группы детского сада,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48,34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49,29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49,46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50,30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50,71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47,94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49,45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0,95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-2,77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-0,07</w:t>
            </w:r>
          </w:p>
        </w:tc>
      </w:tr>
      <w:tr>
        <w:trPr>
          <w:trHeight w:hRule="atLeast" w:val="262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 в возрасте от 3 до 6 дет включительно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4,24%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4,42%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5,17%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5,60%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6,27%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6,23%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4,91%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5,07%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-0,75%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-0,41%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0,06%</w:t>
            </w:r>
          </w:p>
        </w:tc>
      </w:tr>
    </w:tbl>
    <w:p w14:paraId="3F03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</w:p>
    <w:p w14:paraId="4003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3.5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Дошкольные образовательные организации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Статистические данные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5403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  <w:tblHeader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0 до 6 лет включительно,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7 890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8 374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8 819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9 276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9 746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10 462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11 338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12 155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12 906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13 373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13 458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13 094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12 691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10 718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10 068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10 958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3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управления образования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ДОО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6 922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7 237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7 242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7 326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7 310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7 359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6 959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7 194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3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Аналитические данные</w:t>
            </w:r>
          </w:p>
        </w:tc>
      </w:tr>
      <w:tr>
        <w:trPr>
          <w:trHeight w:hRule="atLeast" w:val="273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 в возрасте от 0 до 6 дет включительно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7,41%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7,66%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7,85%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8,11%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8,42%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8,91%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9,46%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9,94%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10,35%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10,55%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10,54%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10,24%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9,96%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8,45%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9,06%</w:t>
            </w:r>
          </w:p>
        </w:tc>
      </w:tr>
      <w:tr>
        <w:trPr>
          <w:trHeight w:hRule="atLeast" w:val="179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-1,50%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-0,43%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0,04%</w:t>
            </w:r>
          </w:p>
        </w:tc>
      </w:tr>
      <w:tr>
        <w:trPr>
          <w:trHeight w:hRule="atLeast" w:val="28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0 до 6 лет включительно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74,11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76,65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81,13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84,24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89,11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94,64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99,43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103,49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105,49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105,43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102,36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99,58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84,53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90,59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1,82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4,87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5,53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-3,06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-2,78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-15,05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-4,33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0,44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ДОО,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5,55%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5,71%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5,67%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5,73%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5,74%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5,80%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5,54%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5,68%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ДОО,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55,51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57,09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56,73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57,27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57,36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58,04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55,44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56,78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-2,60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-0,01</w:t>
            </w:r>
          </w:p>
        </w:tc>
      </w:tr>
      <w:tr>
        <w:trPr>
          <w:trHeight w:hRule="atLeast" w:val="262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ДОО, к количеству детей в возрасте от 0 до 6 лет,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53,63%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53,81%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55,95%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57,60%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68,66%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69,12%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58,98%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11,06%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2,58%</w:t>
            </w:r>
          </w:p>
        </w:tc>
      </w:tr>
    </w:tbl>
    <w:p w14:paraId="3404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</w:p>
    <w:p w14:paraId="3504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3.6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Общеобразовательные организации. Начальные классы (1-4)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Статистические данные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4904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  <w:tblHeader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7 до 10 лет включительно,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3 901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3 973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4 245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4 404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4 511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4 755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4 980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5 132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5 378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5 652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6 044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6 552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7 068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6 740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7 021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5 357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управления образования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начальные классы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6 275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6 637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6 240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7 293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7 699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8 101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8 415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7 237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Аналитические данные</w:t>
            </w:r>
          </w:p>
        </w:tc>
      </w:tr>
      <w:tr>
        <w:trPr>
          <w:trHeight w:hRule="atLeast" w:val="273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 в возрасте от 7 до 10 дет включительно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3,66%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3,64%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3,78%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3,85%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3,90%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4,20%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4,46%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5,55%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5,59%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4,42%</w:t>
            </w:r>
          </w:p>
        </w:tc>
      </w:tr>
      <w:tr>
        <w:trPr>
          <w:trHeight w:hRule="atLeast" w:val="179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0,14%</w:t>
            </w:r>
          </w:p>
        </w:tc>
      </w:tr>
      <w:tr>
        <w:trPr>
          <w:trHeight w:hRule="atLeast" w:val="28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7 до 10 лет включительно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36,64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36,36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37,77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38,52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38,99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40,50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41,57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41,98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44,59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47,35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51,22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53,16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55,93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44,21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1,40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1,07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2,76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3,87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4,24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-2,30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2,78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1,38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начальные классы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5,24%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4,89%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5,70%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6,39%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6,70%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5,71%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0,28%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начальные классы,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50,32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52,36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48,88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57,01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60,41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63,89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67,04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57,13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-3,47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3,40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3,48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2,79</w:t>
            </w:r>
          </w:p>
        </w:tc>
      </w:tr>
      <w:tr>
        <w:trPr>
          <w:trHeight w:hRule="atLeast" w:val="262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начальные классы, к количеству детей в возрасте от 7 до 10 лет,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116,68%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117,43%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103,24%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111,31%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108,93%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120,19%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119,85%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113,95%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-14,18%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-2,38%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11,27%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0,53%</w:t>
            </w:r>
          </w:p>
        </w:tc>
      </w:tr>
    </w:tbl>
    <w:p w14:paraId="2905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</w:p>
    <w:p w14:paraId="2A05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3.7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5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Общеобразовательные организации. Средние классы (5-9)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5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Статистические данные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3E05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  <w:tblHeader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11 до 15 лет включительно,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5 098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5 046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5 074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5 158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5 075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5 062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5 246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5 500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5 780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5 994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6 246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6 464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6 645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6 974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7 124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5 766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5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управления образования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средние классы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6 494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9 875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6 495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7 446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7 941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8 464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9 007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7 960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5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Аналитические данные</w:t>
            </w:r>
          </w:p>
        </w:tc>
      </w:tr>
      <w:tr>
        <w:trPr>
          <w:trHeight w:hRule="atLeast" w:val="273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 в возрасте от 11 до 15 дет включительно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4,62%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4,64%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4,89%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5,21%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5,50%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5,68%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4,78%</w:t>
            </w:r>
          </w:p>
        </w:tc>
      </w:tr>
      <w:tr>
        <w:trPr>
          <w:trHeight w:hRule="atLeast" w:val="179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0,06%</w:t>
            </w:r>
          </w:p>
        </w:tc>
      </w:tr>
      <w:tr>
        <w:trPr>
          <w:trHeight w:hRule="atLeast" w:val="28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11 до 15 лет включительно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47,89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46,19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45,14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45,11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43,86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43,79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44,99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46,35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47,28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48,93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50,53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52,14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55,01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56,75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47,81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-1,70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-1,04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-1,25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0,93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2,87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0,63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средние классы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5,21%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7,79%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5,82%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6,23%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6,68%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7,18%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6,28%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-2,70%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0,33%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средние классы,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52,07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77,90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50,88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58,21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62,31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66,76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71,76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62,84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25,82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-27,02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7,33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4,45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3,28</w:t>
            </w:r>
          </w:p>
        </w:tc>
      </w:tr>
      <w:tr>
        <w:trPr>
          <w:trHeight w:hRule="atLeast" w:val="262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средние классы, к количеству детей в возрасте от 11 до 15 лет,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112,35%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164,74%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103,98%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115,19%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119,50%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121,36%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126,44%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123,37%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widowControl w:val="1"/>
              <w:ind w:firstLine="10" w:left="-44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52,39%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-60,76%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11,21%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1,85%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2,35%</w:t>
            </w:r>
          </w:p>
        </w:tc>
      </w:tr>
    </w:tbl>
    <w:p w14:paraId="1E06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</w:p>
    <w:p w14:paraId="1F06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3.8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Общеобразовательные организации. Старшие классы (10-11)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6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Статистические данные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3306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  <w:tblHeader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16 до 17 лет включительно,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2 461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2 328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2 156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2 090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2 128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2 092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2 009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2 099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2 097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2 314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2 307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2 334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2 436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2 631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2 658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2 276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управления образования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старшие классы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788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Аналитические данные</w:t>
            </w:r>
          </w:p>
        </w:tc>
      </w:tr>
      <w:tr>
        <w:trPr>
          <w:trHeight w:hRule="atLeast" w:val="273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 в возрасте от 16 до 17 дет включительно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2,31%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1,92%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1,83%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1,84%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1,78%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1,72%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1,83%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1,81%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1,82%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1,91%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1,90%</w:t>
            </w:r>
          </w:p>
        </w:tc>
      </w:tr>
      <w:tr>
        <w:trPr>
          <w:trHeight w:hRule="atLeast" w:val="179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-0,01%</w:t>
            </w:r>
          </w:p>
        </w:tc>
      </w:tr>
      <w:tr>
        <w:trPr>
          <w:trHeight w:hRule="atLeast" w:val="28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16 до 17 лет включительно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23,11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21,30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19,18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18,28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18,39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17,82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16,77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16,81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18,25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18,07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18,24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19,11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18,96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-1,81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-0,90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-0,58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-1,05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1,44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-0,14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старшие классы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0,62%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0,01%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старшие классы,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5,96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5,29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6,43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6,54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6,97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6,22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-0,68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0,14</w:t>
            </w:r>
          </w:p>
        </w:tc>
      </w:tr>
      <w:tr>
        <w:trPr>
          <w:trHeight w:hRule="atLeast" w:val="262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старшие классы, к количеству детей в возрасте от 16 до 17 лет,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36,63%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32,67%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29,26%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33,85%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33,66%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31,51%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32,92%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32,93%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-3,95%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-3,41%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-2,15%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1,40%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-0,62%</w:t>
            </w:r>
          </w:p>
        </w:tc>
      </w:tr>
    </w:tbl>
    <w:p w14:paraId="1307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</w:p>
    <w:p w14:paraId="1407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3.9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7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Общеобразовательные организации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7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Статистические данные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28070000">
      <w:pPr>
        <w:rPr>
          <w:rFonts w:ascii="Times New Roman" w:hAnsi="Times New Roman"/>
          <w:b w:val="1"/>
          <w:color w:val="0070C0"/>
          <w:sz w:val="2"/>
          <w:highlight w:val="yellow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  <w:tblHeader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7 до 17 лет включительно,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11 460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11 347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11 475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11 652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11 714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11 909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12 235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12 731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13 255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13 960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14 597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15 350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16 149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16 345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16 803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13 399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7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управления образования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ОО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13 537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17 268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13 410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15 529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16 460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17 394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18 297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15 985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7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Аналитические данные</w:t>
            </w:r>
          </w:p>
        </w:tc>
      </w:tr>
      <w:tr>
        <w:trPr>
          <w:trHeight w:hRule="atLeast" w:val="273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 в возрасте от 7 до 17 дет включительно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10,76%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10,39%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10,21%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10,19%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10,14%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10,21%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10,41%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10,63%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11,43%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12,00%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12,67%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12,89%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13,39%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11,10%</w:t>
            </w:r>
          </w:p>
        </w:tc>
      </w:tr>
      <w:tr>
        <w:trPr>
          <w:trHeight w:hRule="atLeast" w:val="179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0,19%</w:t>
            </w:r>
          </w:p>
        </w:tc>
      </w:tr>
      <w:tr>
        <w:trPr>
          <w:trHeight w:hRule="atLeast" w:val="28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7 до 17 лет включительно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107,64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103,86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102,09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101,91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101,25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101,44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102,12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106,29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110,12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114,35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126,71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128,91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133,86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110,98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-3,78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-1,77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-0,66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3,83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4,23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5,65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6,72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4,95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1,87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ОО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13,62%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10,50%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12,14%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12,92%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13,72%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14,58%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12,62%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2,77%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0,62%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ОО,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108,55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136,22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105,05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121,40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129,15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137,19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145,77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126,19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27,66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-31,17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16,35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7,76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8,58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6,20</w:t>
            </w:r>
          </w:p>
        </w:tc>
      </w:tr>
      <w:tr>
        <w:trPr>
          <w:trHeight w:hRule="atLeast" w:val="262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ОО, к количеству детей в возрасте от 7 до 17 лет,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7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102,13%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7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123,70%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7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91,87%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7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101,17%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7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101,93%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7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106,42%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7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108,89%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7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105,16%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8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8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21,57%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8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-31,83%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8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9,30%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8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8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4,49%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8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2,47%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8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1,13%</w:t>
            </w:r>
          </w:p>
        </w:tc>
      </w:tr>
    </w:tbl>
    <w:p w14:paraId="0808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 учётом прогнозируемого увеличения населения принимаем следующие предельные значения расчётных показателей минимально допустимого уровня обеспеченности дошкольными образовательными организациями общего типа: </w:t>
      </w:r>
    </w:p>
    <w:p w14:paraId="0908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</w:t>
      </w:r>
      <w:r>
        <w:rPr>
          <w:rFonts w:ascii="Times New Roman" w:hAnsi="Times New Roman"/>
          <w:sz w:val="26"/>
        </w:rPr>
        <w:t>10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00"/>
        <w:gridCol w:w="1389"/>
        <w:gridCol w:w="1389"/>
        <w:gridCol w:w="1389"/>
        <w:gridCol w:w="1389"/>
        <w:gridCol w:w="1390"/>
      </w:tblGrid>
      <w:tr>
        <w:trPr>
          <w:tblHeader/>
        </w:trPr>
        <w:tc>
          <w:tcPr>
            <w:tcW w:type="dxa" w:w="154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Дошкольные образовательные организации </w:t>
            </w:r>
            <w:r>
              <w:rPr>
                <w:rFonts w:ascii="Times New Roman" w:hAnsi="Times New Roman"/>
                <w:sz w:val="16"/>
              </w:rPr>
              <w:t xml:space="preserve">(прогнозные данные) за период с 2024 по 2040 </w:t>
            </w:r>
            <w:r>
              <w:rPr>
                <w:rFonts w:ascii="Times New Roman" w:hAnsi="Times New Roman"/>
                <w:sz w:val="16"/>
              </w:rPr>
              <w:t>гг</w:t>
            </w:r>
          </w:p>
        </w:tc>
      </w:tr>
      <w:tr>
        <w:trPr>
          <w:tblHeader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2029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2033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2037</w:t>
            </w:r>
          </w:p>
        </w:tc>
      </w:tr>
    </w:tbl>
    <w:p w14:paraId="11080000">
      <w:pPr>
        <w:pStyle w:val="Style_4"/>
        <w:tabs>
          <w:tab w:leader="none" w:pos="851" w:val="left"/>
          <w:tab w:leader="none" w:pos="1134" w:val="left"/>
          <w:tab w:leader="none" w:pos="1276" w:val="left"/>
          <w:tab w:leader="none" w:pos="9356" w:val="left"/>
        </w:tabs>
        <w:ind w:firstLine="0" w:left="0"/>
        <w:jc w:val="center"/>
        <w:rPr>
          <w:rFonts w:ascii="Times New Roman" w:hAnsi="Times New Roman"/>
          <w:b w:val="1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00"/>
        <w:gridCol w:w="1389"/>
        <w:gridCol w:w="1389"/>
        <w:gridCol w:w="1389"/>
        <w:gridCol w:w="1389"/>
        <w:gridCol w:w="1390"/>
      </w:tblGrid>
      <w:tr>
        <w:trPr>
          <w:tblHeader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80000">
            <w:pPr>
              <w:pStyle w:val="Style_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Предельные значения расчётных показателей минимально допустимого уровня обеспеченности, мест / 1 тыс. жителей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</w:t>
            </w:r>
          </w:p>
        </w:tc>
      </w:tr>
    </w:tbl>
    <w:p w14:paraId="1E08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 учётом прогнозируемого увеличения населения принимаем следующие предельные значения расчётных показателей минимально допустимого уровня обеспеченности дошкольными образовательными организациями общего типа: </w:t>
      </w:r>
    </w:p>
    <w:p w14:paraId="1F08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</w:p>
    <w:p w14:paraId="2008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</w:t>
      </w:r>
      <w:r>
        <w:rPr>
          <w:rFonts w:ascii="Times New Roman" w:hAnsi="Times New Roman"/>
          <w:sz w:val="26"/>
        </w:rPr>
        <w:t>11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00"/>
        <w:gridCol w:w="1389"/>
        <w:gridCol w:w="1389"/>
        <w:gridCol w:w="1389"/>
        <w:gridCol w:w="1389"/>
        <w:gridCol w:w="1390"/>
      </w:tblGrid>
      <w:tr>
        <w:trPr>
          <w:tblHeader/>
        </w:trPr>
        <w:tc>
          <w:tcPr>
            <w:tcW w:type="dxa" w:w="154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Общеобразовательные организации </w:t>
            </w:r>
            <w:r>
              <w:rPr>
                <w:rFonts w:ascii="Times New Roman" w:hAnsi="Times New Roman"/>
                <w:sz w:val="16"/>
              </w:rPr>
              <w:t xml:space="preserve">(прогнозные данные) за период с 2024 по 2040 </w:t>
            </w:r>
            <w:r>
              <w:rPr>
                <w:rFonts w:ascii="Times New Roman" w:hAnsi="Times New Roman"/>
                <w:sz w:val="16"/>
              </w:rPr>
              <w:t>гг</w:t>
            </w:r>
          </w:p>
        </w:tc>
      </w:tr>
      <w:tr>
        <w:trPr>
          <w:tblHeader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2029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2033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2037</w:t>
            </w:r>
          </w:p>
        </w:tc>
      </w:tr>
    </w:tbl>
    <w:p w14:paraId="28080000">
      <w:pPr>
        <w:pStyle w:val="Style_4"/>
        <w:tabs>
          <w:tab w:leader="none" w:pos="851" w:val="left"/>
          <w:tab w:leader="none" w:pos="1134" w:val="left"/>
          <w:tab w:leader="none" w:pos="1276" w:val="left"/>
          <w:tab w:leader="none" w:pos="9356" w:val="left"/>
        </w:tabs>
        <w:ind w:firstLine="0" w:left="0"/>
        <w:jc w:val="center"/>
        <w:rPr>
          <w:rFonts w:ascii="Times New Roman" w:hAnsi="Times New Roman"/>
          <w:b w:val="1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00"/>
        <w:gridCol w:w="1389"/>
        <w:gridCol w:w="1389"/>
        <w:gridCol w:w="1389"/>
        <w:gridCol w:w="1389"/>
        <w:gridCol w:w="1390"/>
      </w:tblGrid>
      <w:tr>
        <w:trPr>
          <w:tblHeader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80000">
            <w:pPr>
              <w:pStyle w:val="Style_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Предельные значения расчётных показателей минимально допустимого уровня обеспеченности, мест / 1 тыс. жителей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117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118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124</w:t>
            </w:r>
          </w:p>
        </w:tc>
      </w:tr>
    </w:tbl>
    <w:p w14:paraId="3508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здравоохранения установлены в соответствии с СП 42.13330, СП 158.13330, Методическими рекомендациями о применении нормативов и норм ресурсной обеспеченн</w:t>
      </w:r>
      <w:r>
        <w:rPr>
          <w:rFonts w:ascii="Times New Roman" w:hAnsi="Times New Roman"/>
          <w:sz w:val="26"/>
        </w:rPr>
        <w:t xml:space="preserve">ости населения </w:t>
      </w:r>
      <w:r>
        <w:rPr>
          <w:rFonts w:ascii="Times New Roman" w:hAnsi="Times New Roman"/>
          <w:sz w:val="26"/>
        </w:rPr>
        <w:t>в сфере здравоохранения, утверждённых Приказом Министерства Здравоохранения РФ №182 от 20.04.2018, Порядком оказания скорой, в том числе скорой специализированной, медицинской помощи, утверждённого Приказом Министерства Здравоохранения РФ №388н от</w:t>
      </w:r>
      <w:r>
        <w:rPr>
          <w:rFonts w:ascii="Times New Roman" w:hAnsi="Times New Roman"/>
          <w:sz w:val="26"/>
        </w:rPr>
        <w:t xml:space="preserve"> 20.06.2013, </w:t>
      </w:r>
      <w:r>
        <w:rPr>
          <w:rFonts w:ascii="Times New Roman" w:hAnsi="Times New Roman"/>
          <w:sz w:val="26"/>
        </w:rPr>
        <w:t xml:space="preserve">Нормативами градостроительного проектирования Ростовской области, утвержденными постановлением Министерства строительства, архитектуры и территориального развития Ростовской области, </w:t>
      </w:r>
      <w:r>
        <w:rPr>
          <w:rFonts w:ascii="Times New Roman" w:hAnsi="Times New Roman"/>
          <w:sz w:val="26"/>
        </w:rPr>
        <w:t>на основании анализа и расчётов, приведё</w:t>
      </w:r>
      <w:r>
        <w:rPr>
          <w:rFonts w:ascii="Times New Roman" w:hAnsi="Times New Roman"/>
          <w:sz w:val="26"/>
        </w:rPr>
        <w:t>нных в Примечаниях и таблице 3.10</w:t>
      </w:r>
      <w:r>
        <w:rPr>
          <w:rFonts w:ascii="Times New Roman" w:hAnsi="Times New Roman"/>
          <w:sz w:val="26"/>
        </w:rPr>
        <w:t>.</w:t>
      </w:r>
    </w:p>
    <w:p w14:paraId="36080000">
      <w:pPr>
        <w:ind w:firstLine="567" w:left="0" w:right="21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Примечания:</w:t>
      </w:r>
    </w:p>
    <w:p w14:paraId="3708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учётом прогно</w:t>
      </w:r>
      <w:r>
        <w:rPr>
          <w:rFonts w:ascii="Times New Roman" w:hAnsi="Times New Roman"/>
          <w:sz w:val="26"/>
        </w:rPr>
        <w:t xml:space="preserve">зируемого увеличения населения </w:t>
      </w:r>
      <w:r>
        <w:rPr>
          <w:rFonts w:ascii="Times New Roman" w:hAnsi="Times New Roman"/>
          <w:sz w:val="26"/>
        </w:rPr>
        <w:t>принимаем следующие предельные значения расчётных показателей минимально допустимого уровня обеспеченности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амбулаторно-поликлиническими организациями (подразделениями</w:t>
      </w:r>
      <w:r>
        <w:rPr>
          <w:rFonts w:ascii="Times New Roman" w:hAnsi="Times New Roman"/>
          <w:sz w:val="26"/>
        </w:rPr>
        <w:t xml:space="preserve">): </w:t>
      </w:r>
    </w:p>
    <w:p w14:paraId="38080000">
      <w:pPr>
        <w:pStyle w:val="Style_4"/>
        <w:numPr>
          <w:ilvl w:val="0"/>
          <w:numId w:val="5"/>
        </w:numPr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посещений в смену / 1 тыс. жителей, в том числе:</w:t>
      </w:r>
    </w:p>
    <w:p w14:paraId="39080000">
      <w:pPr>
        <w:pStyle w:val="Style_4"/>
        <w:numPr>
          <w:ilvl w:val="0"/>
          <w:numId w:val="5"/>
        </w:numPr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19</w:t>
      </w:r>
      <w:r>
        <w:rPr>
          <w:rFonts w:ascii="Times New Roman" w:hAnsi="Times New Roman"/>
          <w:sz w:val="26"/>
        </w:rPr>
        <w:t xml:space="preserve"> посещений в смену для взрослого населения / 1 тыс. жителей,</w:t>
      </w:r>
    </w:p>
    <w:p w14:paraId="3A080000">
      <w:pPr>
        <w:pStyle w:val="Style_4"/>
        <w:numPr>
          <w:ilvl w:val="0"/>
          <w:numId w:val="5"/>
        </w:numPr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 посещени1</w:t>
      </w:r>
      <w:r>
        <w:rPr>
          <w:rFonts w:ascii="Times New Roman" w:hAnsi="Times New Roman"/>
          <w:sz w:val="26"/>
        </w:rPr>
        <w:t xml:space="preserve"> в смену для детского населения / 1 тыс. жителей.</w:t>
      </w:r>
    </w:p>
    <w:p w14:paraId="3B08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3.1</w:t>
      </w:r>
      <w:r>
        <w:rPr>
          <w:rFonts w:ascii="Times New Roman" w:hAnsi="Times New Roman"/>
          <w:sz w:val="26"/>
        </w:rPr>
        <w:t>2</w:t>
      </w:r>
    </w:p>
    <w:p w14:paraId="3C080000">
      <w:pPr>
        <w:rPr>
          <w:rFonts w:ascii="Times New Roman" w:hAnsi="Times New Roman"/>
          <w:b w:val="1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>
        <w:trPr>
          <w:tblHeader/>
        </w:trPr>
        <w:tc>
          <w:tcPr>
            <w:tcW w:type="dxa" w:w="154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Оценка численности населения города Батайска за период с 2009 по 2023 </w:t>
            </w:r>
            <w:r>
              <w:rPr>
                <w:rFonts w:ascii="Times New Roman" w:hAnsi="Times New Roman"/>
                <w:sz w:val="16"/>
              </w:rPr>
              <w:t>гг</w:t>
            </w:r>
            <w:r>
              <w:rPr>
                <w:rFonts w:ascii="Times New Roman" w:hAnsi="Times New Roman"/>
                <w:sz w:val="16"/>
              </w:rPr>
              <w:t xml:space="preserve"> (статические данные)</w:t>
            </w:r>
          </w:p>
        </w:tc>
      </w:tr>
      <w:tr>
        <w:trPr>
          <w:tblHeader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4F080000">
      <w:pPr>
        <w:pStyle w:val="Style_4"/>
        <w:tabs>
          <w:tab w:leader="none" w:pos="851" w:val="left"/>
          <w:tab w:leader="none" w:pos="1134" w:val="left"/>
          <w:tab w:leader="none" w:pos="1276" w:val="left"/>
          <w:tab w:leader="none" w:pos="9356" w:val="left"/>
        </w:tabs>
        <w:ind w:firstLine="0" w:left="0"/>
        <w:jc w:val="center"/>
        <w:rPr>
          <w:rFonts w:ascii="Times New Roman" w:hAnsi="Times New Roman"/>
          <w:b w:val="1"/>
          <w:color w:val="0070C0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>
        <w:trPr>
          <w:tblHeader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Численность детского населения в возрасте от 0 до 17 лет включительно, чел. 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19 350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19 721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20 294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20 928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21 460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22 371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23 573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24 886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26 161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27 333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28 055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28 444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28 840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27 063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26 871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24 357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8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детского населения в возрасте от 0 до 17 лет включительно к общей численности населения, %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18,17%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18,05%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18,06%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18,30%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18,55%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19,05%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19,68%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20,36%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20,98%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21,56%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21,98%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22,24%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22,63%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21,34%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21,41%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20,25%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8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Численность взрослого населения в возрасте от 18 лет включительно, чел. 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87 118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89 534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92 104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93 409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94 236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95 034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96 234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97 361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98 544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99 436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99 599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99 475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98 604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99 727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98 652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95 938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8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Процентное соотношение взрослого населения в возрасте от 18 лет включительно к общей </w:t>
            </w:r>
            <w:r>
              <w:rPr>
                <w:rFonts w:ascii="Times New Roman" w:hAnsi="Times New Roman"/>
                <w:sz w:val="16"/>
              </w:rPr>
              <w:t>численности населения, %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81,83%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81,95%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81,94%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81,70%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81,45%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80,95%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80,32%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79,64%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79,02%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78,44%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78,02%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77,76%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77,37%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78,66%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78,59%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79,75%</w:t>
            </w:r>
          </w:p>
        </w:tc>
      </w:tr>
    </w:tbl>
    <w:p w14:paraId="A508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социальной за</w:t>
      </w:r>
      <w:r>
        <w:rPr>
          <w:rFonts w:ascii="Times New Roman" w:hAnsi="Times New Roman"/>
          <w:sz w:val="26"/>
        </w:rPr>
        <w:t xml:space="preserve">щиты (обеспечения) установлены </w:t>
      </w:r>
      <w:r>
        <w:rPr>
          <w:rFonts w:ascii="Times New Roman" w:hAnsi="Times New Roman"/>
          <w:sz w:val="26"/>
        </w:rPr>
        <w:t>в соответствии с СП 42.13330, СП 141.13330.</w:t>
      </w:r>
    </w:p>
    <w:p w14:paraId="A608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физической культуры и массового спорта установлены в соответствии с СП 42.13330, СП 30-102-99, Приказом Министерства спорта РФ от 21.03.2018 №244, Распоряжением Правительства РФ от 24.11.2020 №3081-р на основании расчётов, приведённых в таблице 3.7</w:t>
      </w:r>
    </w:p>
    <w:p w14:paraId="A708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 w:right="112"/>
        <w:jc w:val="righ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Таблица 3.</w:t>
      </w:r>
      <w:r>
        <w:rPr>
          <w:rFonts w:ascii="Times New Roman" w:hAnsi="Times New Roman"/>
          <w:sz w:val="26"/>
        </w:rPr>
        <w:t>13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42"/>
        <w:gridCol w:w="1011"/>
        <w:gridCol w:w="960"/>
        <w:gridCol w:w="961"/>
        <w:gridCol w:w="961"/>
        <w:gridCol w:w="960"/>
        <w:gridCol w:w="961"/>
        <w:gridCol w:w="961"/>
      </w:tblGrid>
      <w:tr>
        <w:tc>
          <w:tcPr>
            <w:tcW w:type="dxa" w:w="1541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Расчётные показатели минимально допустимого уровня обеспеченности объектов спорта</w:t>
            </w:r>
          </w:p>
        </w:tc>
      </w:tr>
      <w:tr>
        <w:tc>
          <w:tcPr>
            <w:tcW w:type="dxa" w:w="86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14:paraId="AA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7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</w:t>
            </w:r>
          </w:p>
        </w:tc>
      </w:tr>
      <w:tr>
        <w:tc>
          <w:tcPr>
            <w:tcW w:type="dxa" w:w="8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</w:tbl>
    <w:p w14:paraId="B3080000">
      <w:pPr>
        <w:pStyle w:val="Style_4"/>
        <w:tabs>
          <w:tab w:leader="none" w:pos="851" w:val="left"/>
          <w:tab w:leader="none" w:pos="1134" w:val="left"/>
          <w:tab w:leader="none" w:pos="9356" w:val="left"/>
        </w:tabs>
        <w:ind w:firstLine="0" w:left="567"/>
        <w:rPr>
          <w:rFonts w:ascii="Times New Roman" w:hAnsi="Times New Roman"/>
          <w:color w:val="0070C0"/>
          <w:sz w:val="2"/>
          <w:highlight w:val="yellow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42"/>
        <w:gridCol w:w="1011"/>
        <w:gridCol w:w="960"/>
        <w:gridCol w:w="961"/>
        <w:gridCol w:w="961"/>
        <w:gridCol w:w="960"/>
        <w:gridCol w:w="961"/>
        <w:gridCol w:w="961"/>
      </w:tblGrid>
      <w:t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8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Усреднённый норматив единовременной пропускной способности объектов спорта на 1 тыс. жителей, чел.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</w:tr>
      <w:t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8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8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Расчётные значения расчётных показателей минимально допустимого уровня обеспеченности объектов спорта на 1 тыс. жителей, чел.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</w:tr>
      <w:t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8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Принимаемые предельные значения расчётных показателей минимально допустимого уровня обеспеченности объектов спорта на 1 тыс. жителей, чел.</w:t>
            </w:r>
          </w:p>
        </w:tc>
        <w:tc>
          <w:tcPr>
            <w:tcW w:type="dxa" w:w="1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9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type="dxa" w:w="19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</w:tr>
    </w:tbl>
    <w:p w14:paraId="D9080000">
      <w:pPr>
        <w:pStyle w:val="Style_4"/>
        <w:widowControl w:val="1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spacing w:line="288" w:lineRule="atLeast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культуры и искусств</w:t>
      </w:r>
      <w:r>
        <w:rPr>
          <w:rFonts w:ascii="Times New Roman" w:hAnsi="Times New Roman"/>
          <w:sz w:val="26"/>
        </w:rPr>
        <w:t xml:space="preserve">а установлены в соответствии с </w:t>
      </w:r>
      <w:r>
        <w:rPr>
          <w:rFonts w:ascii="Times New Roman" w:hAnsi="Times New Roman"/>
          <w:sz w:val="26"/>
        </w:rPr>
        <w:t xml:space="preserve">СП 42.13330, СП 30-102-99, </w:t>
      </w:r>
      <w:r>
        <w:rPr>
          <w:rFonts w:ascii="Times New Roman" w:hAnsi="Times New Roman"/>
          <w:sz w:val="26"/>
        </w:rPr>
        <w:t>Методическими</w:t>
      </w:r>
      <w:r>
        <w:rPr>
          <w:rFonts w:ascii="Times New Roman" w:hAnsi="Times New Roman"/>
          <w:sz w:val="26"/>
        </w:rPr>
        <w:t xml:space="preserve"> рекомендаци</w:t>
      </w:r>
      <w:r>
        <w:rPr>
          <w:rFonts w:ascii="Times New Roman" w:hAnsi="Times New Roman"/>
          <w:sz w:val="26"/>
        </w:rPr>
        <w:t>ями</w:t>
      </w:r>
      <w:r>
        <w:rPr>
          <w:rFonts w:ascii="Times New Roman" w:hAnsi="Times New Roman"/>
          <w:sz w:val="26"/>
        </w:rPr>
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</w:t>
      </w:r>
      <w:r>
        <w:rPr>
          <w:rFonts w:ascii="Times New Roman" w:hAnsi="Times New Roman"/>
          <w:sz w:val="26"/>
        </w:rPr>
        <w:t xml:space="preserve"> услугами организаций культуры, утверждённых Распоряжением Минкультуры России от 23.10.2023 №Р-2879.</w:t>
      </w:r>
    </w:p>
    <w:p w14:paraId="DA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color w:val="0070C0"/>
          <w:sz w:val="26"/>
        </w:rPr>
      </w:pPr>
      <w:r>
        <w:rPr>
          <w:rFonts w:ascii="Times New Roman" w:hAnsi="Times New Roman"/>
          <w:sz w:val="26"/>
        </w:rPr>
        <w:t xml:space="preserve"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библиотечного и музейного дела установлены в соответствии с СП 42.13330, </w:t>
      </w:r>
      <w:r>
        <w:rPr>
          <w:rFonts w:ascii="Times New Roman" w:hAnsi="Times New Roman"/>
          <w:sz w:val="26"/>
        </w:rPr>
        <w:t>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утверждённых Распоряжением Минкультуры России от 23.10.2023 №Р-2879.</w:t>
      </w:r>
    </w:p>
    <w:p w14:paraId="DB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торговли, общественного питания и бытового обслуживания установлены в соответствии с СП 42.13330.</w:t>
      </w:r>
    </w:p>
    <w:p w14:paraId="DC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туризма, отдыха и оздоровления установлены в соответствии с СП 42.13330, ГОСТ Р 56197-</w:t>
      </w:r>
      <w:r>
        <w:rPr>
          <w:rFonts w:ascii="Times New Roman" w:hAnsi="Times New Roman"/>
          <w:sz w:val="26"/>
        </w:rPr>
        <w:t>2014.</w:t>
      </w:r>
    </w:p>
    <w:p w14:paraId="DD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Предельные значения расчётных показателей объектов жилищного строительства установлены в соответствии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с СП 42.13330, СП 476.1325800, СП 477.1325800, СП 30-101-98.</w:t>
      </w:r>
    </w:p>
    <w:p w14:paraId="DE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общественного пространства, рекреации, озеленения и благоустройства территории установлены в соответствии с СП 42.13330, СП 475.1325800, СП 476.1325800, ГОСТ Р 56197-2014, СанПиН 2.1.3684-21, Письмом ФГБУ «</w:t>
      </w:r>
      <w:r>
        <w:rPr>
          <w:rFonts w:ascii="Times New Roman" w:hAnsi="Times New Roman"/>
          <w:sz w:val="26"/>
        </w:rPr>
        <w:t>Северо-Кавка</w:t>
      </w:r>
      <w:r>
        <w:rPr>
          <w:rFonts w:ascii="Times New Roman" w:hAnsi="Times New Roman"/>
          <w:sz w:val="26"/>
        </w:rPr>
        <w:t>зское</w:t>
      </w:r>
      <w:r>
        <w:rPr>
          <w:rFonts w:ascii="Times New Roman" w:hAnsi="Times New Roman"/>
          <w:sz w:val="26"/>
        </w:rPr>
        <w:t xml:space="preserve"> УГМС» №314/1-16/5109 от 28.02.2024</w:t>
      </w:r>
      <w:r>
        <w:rPr>
          <w:rFonts w:ascii="Times New Roman" w:hAnsi="Times New Roman"/>
          <w:sz w:val="26"/>
        </w:rPr>
        <w:t xml:space="preserve"> с учётом рас</w:t>
      </w:r>
      <w:r>
        <w:rPr>
          <w:rFonts w:ascii="Times New Roman" w:hAnsi="Times New Roman"/>
          <w:sz w:val="26"/>
        </w:rPr>
        <w:t>чётов, приведённых в таблице 3.12</w:t>
      </w:r>
    </w:p>
    <w:p w14:paraId="DF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защиты населения и территории городского округа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чрезвычайных ситуаций природного и техногенного характера установлены в соответствии с СП 8.13130, СП 116.13330, Федеральным законом «Об аварийно-спасательных службах и статусе спасателей» от 22.08.1995 №151-ФЗ, Приказом МЧС России от 15.10.2021 № 700, Правилами пользования пляжами в Российской Федерации, утверждёнными приказом МЧС России от 30.09.2020 № 732.</w:t>
      </w:r>
    </w:p>
    <w:p w14:paraId="E0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Требования к противопожарным расстояниям между зданиями и сооружениями, к проходам, въездам (выездам) проездам и подъездам установлены в соответствии с СП 4.13130.</w:t>
      </w:r>
    </w:p>
    <w:p w14:paraId="E1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по обезвреживанию, транспортированию и переработке коммунальных отходов установлены в соответствии с СП 42.13330.</w:t>
      </w:r>
    </w:p>
    <w:p w14:paraId="E2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ритуальных услуг установлены в соответствии с СП 42.13330, Федеральным законом «О погребении и похоронном деле» от 12.01.1996 № 8-ФЗ.</w:t>
      </w:r>
    </w:p>
    <w:p w14:paraId="E3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услуг связи, государ</w:t>
      </w:r>
      <w:r>
        <w:rPr>
          <w:rFonts w:ascii="Times New Roman" w:hAnsi="Times New Roman"/>
          <w:sz w:val="26"/>
        </w:rPr>
        <w:t xml:space="preserve">ственных и муниципальных услуг </w:t>
      </w:r>
      <w:r>
        <w:rPr>
          <w:rFonts w:ascii="Times New Roman" w:hAnsi="Times New Roman"/>
          <w:sz w:val="26"/>
        </w:rPr>
        <w:t>установлены в соответствии с СП 42.13330, СП 400.1325800, СП 30-102-99, Приказом Министерства цифрового развития, связи и массовых коммуникаций Российской Федерации от 26.10.2020 №538 «Об утверждении нормативов размещения почтовой связи и иных объектов почтовой связи акционерного общества «Почта России».</w:t>
      </w:r>
    </w:p>
    <w:p w14:paraId="E4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Расчётные показатели автомобильных дорог и улично-дорожной сети установлены в соответствии с СП 42.13330, СП 396.1325800.</w:t>
      </w:r>
    </w:p>
    <w:p w14:paraId="E5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Расчётные показатели объектов сети общественного пассажирского транспорта и пешеходного движения установлены в соответствии с СП 42.13330.</w:t>
      </w:r>
    </w:p>
    <w:p w14:paraId="E6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Расчётные показатели объектов транспортной инфраструктуры (хранения транспортных средств) установлены в соответствии с СП 42.13330, СП 59.13330, СанПиН 2.2.1/2.1.1.1200-03.</w:t>
      </w:r>
    </w:p>
    <w:p w14:paraId="E7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Расчётные показатели объектов сети общественного пассажирского транспорта и пешеходного движения установлены в соответствии с СП 31.13330, СП 32.13330, </w:t>
      </w:r>
      <w:r>
        <w:rPr>
          <w:rFonts w:ascii="Times New Roman" w:hAnsi="Times New Roman"/>
          <w:sz w:val="26"/>
        </w:rPr>
        <w:t>СП 42.13330, СП 124.13330</w:t>
      </w:r>
      <w:r>
        <w:rPr>
          <w:rFonts w:ascii="Times New Roman" w:hAnsi="Times New Roman"/>
          <w:sz w:val="26"/>
        </w:rPr>
        <w:t>, СП 256.1325800, СП 133.13330, СП 134.13330, СП 42-101-2003, РД 34.20.185-94, РД 45.162-2001.</w:t>
      </w:r>
    </w:p>
    <w:p w14:paraId="E8080000">
      <w:pPr>
        <w:widowControl w:val="1"/>
        <w:ind/>
        <w:rPr>
          <w:rFonts w:ascii="Times New Roman" w:hAnsi="Times New Roman"/>
          <w:color w:val="0070C0"/>
          <w:sz w:val="26"/>
        </w:rPr>
      </w:pPr>
    </w:p>
    <w:sectPr>
      <w:footerReference r:id="rId2" w:type="default"/>
      <w:pgSz w:h="11900" w:orient="landscape" w:w="16840"/>
      <w:pgMar w:bottom="580" w:footer="0" w:gutter="0" w:header="720" w:left="851" w:right="538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Ростов-на-Дону</w:t>
    </w:r>
  </w:p>
  <w:p w14:paraId="02000000">
    <w:pPr>
      <w:pStyle w:val="Style_1"/>
      <w:ind/>
      <w:jc w:val="center"/>
    </w:pPr>
    <w:r>
      <w:t>2022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t>Ростов-на-Дону</w:t>
    </w:r>
  </w:p>
  <w:p w14:paraId="08000000">
    <w:pPr>
      <w:pStyle w:val="Style_1"/>
      <w:ind/>
      <w:jc w:val="center"/>
    </w:pPr>
    <w:r>
      <w:t>2022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ind/>
      <w:jc w:val="center"/>
    </w:pPr>
  </w:p>
  <w:p w14:paraId="0A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8016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bullet"/>
      <w:lvlText w:val=""/>
      <w:lvlJc w:val="left"/>
      <w:pPr>
        <w:ind w:hanging="360" w:left="1287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  <w:rPr>
      <w:rFonts w:ascii="Microsoft Sans Serif" w:hAnsi="Microsoft Sans Serif"/>
    </w:rPr>
  </w:style>
  <w:style w:default="1" w:styleId="Style_7_ch" w:type="character">
    <w:name w:val="Normal"/>
    <w:link w:val="Style_7"/>
    <w:rPr>
      <w:rFonts w:ascii="Microsoft Sans Serif" w:hAnsi="Microsoft Sans Serif"/>
    </w:rPr>
  </w:style>
  <w:style w:styleId="Style_8" w:type="paragraph">
    <w:name w:val="annotation reference"/>
    <w:basedOn w:val="Style_9"/>
    <w:link w:val="Style_8_ch"/>
    <w:rPr>
      <w:sz w:val="16"/>
    </w:rPr>
  </w:style>
  <w:style w:styleId="Style_8_ch" w:type="character">
    <w:name w:val="annotation reference"/>
    <w:basedOn w:val="Style_9_ch"/>
    <w:link w:val="Style_8"/>
    <w:rPr>
      <w:sz w:val="16"/>
    </w:rPr>
  </w:style>
  <w:style w:styleId="Style_10" w:type="paragraph">
    <w:name w:val="toc 2"/>
    <w:next w:val="Style_7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2" w:type="paragraph">
    <w:name w:val="heading 7"/>
    <w:basedOn w:val="Style_7"/>
    <w:next w:val="Style_7"/>
    <w:link w:val="Style_12_ch"/>
    <w:uiPriority w:val="9"/>
    <w:qFormat/>
    <w:pPr>
      <w:keepNext w:val="1"/>
      <w:keepLines w:val="1"/>
      <w:spacing w:before="40"/>
      <w:ind/>
      <w:outlineLvl w:val="6"/>
    </w:pPr>
    <w:rPr>
      <w:rFonts w:asciiTheme="majorAscii" w:hAnsiTheme="majorHAnsi"/>
      <w:i w:val="1"/>
      <w:color w:themeColor="accent1" w:themeShade="7F" w:val="244061"/>
    </w:rPr>
  </w:style>
  <w:style w:styleId="Style_12_ch" w:type="character">
    <w:name w:val="heading 7"/>
    <w:basedOn w:val="Style_7_ch"/>
    <w:link w:val="Style_12"/>
    <w:rPr>
      <w:rFonts w:asciiTheme="majorAscii" w:hAnsiTheme="majorHAnsi"/>
      <w:i w:val="1"/>
      <w:color w:themeColor="accent1" w:themeShade="7F" w:val="244061"/>
    </w:rPr>
  </w:style>
  <w:style w:styleId="Style_13" w:type="paragraph">
    <w:name w:val="search_result"/>
    <w:basedOn w:val="Style_9"/>
    <w:link w:val="Style_13_ch"/>
  </w:style>
  <w:style w:styleId="Style_13_ch" w:type="character">
    <w:name w:val="search_result"/>
    <w:basedOn w:val="Style_9_ch"/>
    <w:link w:val="Style_13"/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7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Placeholder Text"/>
    <w:basedOn w:val="Style_9"/>
    <w:link w:val="Style_16_ch"/>
    <w:rPr>
      <w:color w:val="808080"/>
    </w:rPr>
  </w:style>
  <w:style w:styleId="Style_16_ch" w:type="character">
    <w:name w:val="Placeholder Text"/>
    <w:basedOn w:val="Style_9_ch"/>
    <w:link w:val="Style_16"/>
    <w:rPr>
      <w:color w:val="808080"/>
    </w:rPr>
  </w:style>
  <w:style w:styleId="Style_2" w:type="paragraph">
    <w:name w:val="heading 3"/>
    <w:basedOn w:val="Style_7"/>
    <w:next w:val="Style_7"/>
    <w:link w:val="Style_2_ch"/>
    <w:uiPriority w:val="9"/>
    <w:qFormat/>
    <w:pPr>
      <w:keepNext w:val="1"/>
      <w:keepLines w:val="1"/>
      <w:widowControl w:val="1"/>
      <w:ind/>
      <w:jc w:val="center"/>
      <w:outlineLvl w:val="2"/>
    </w:pPr>
    <w:rPr>
      <w:rFonts w:ascii="Times New Roman" w:hAnsi="Times New Roman"/>
      <w:b w:val="1"/>
      <w:sz w:val="28"/>
    </w:rPr>
  </w:style>
  <w:style w:styleId="Style_2_ch" w:type="character">
    <w:name w:val="heading 3"/>
    <w:basedOn w:val="Style_7_ch"/>
    <w:link w:val="Style_2"/>
    <w:rPr>
      <w:rFonts w:ascii="Times New Roman" w:hAnsi="Times New Roman"/>
      <w:b w:val="1"/>
      <w:sz w:val="28"/>
    </w:rPr>
  </w:style>
  <w:style w:styleId="Style_17" w:type="paragraph">
    <w:name w:val="p27"/>
    <w:basedOn w:val="Style_7"/>
    <w:link w:val="Style_1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7_ch" w:type="character">
    <w:name w:val="p27"/>
    <w:basedOn w:val="Style_7_ch"/>
    <w:link w:val="Style_17"/>
    <w:rPr>
      <w:rFonts w:ascii="Times New Roman" w:hAnsi="Times New Roman"/>
      <w:sz w:val="24"/>
    </w:rPr>
  </w:style>
  <w:style w:styleId="Style_18" w:type="paragraph">
    <w:name w:val="match"/>
    <w:basedOn w:val="Style_9"/>
    <w:link w:val="Style_18_ch"/>
  </w:style>
  <w:style w:styleId="Style_18_ch" w:type="character">
    <w:name w:val="match"/>
    <w:basedOn w:val="Style_9_ch"/>
    <w:link w:val="Style_18"/>
  </w:style>
  <w:style w:styleId="Style_19" w:type="paragraph">
    <w:name w:val="Абзац"/>
    <w:link w:val="Style_19_ch"/>
    <w:pPr>
      <w:spacing w:after="60" w:before="120"/>
      <w:ind w:firstLine="567" w:left="0"/>
      <w:jc w:val="both"/>
    </w:pPr>
    <w:rPr>
      <w:rFonts w:ascii="Times New Roman" w:hAnsi="Times New Roman"/>
      <w:sz w:val="24"/>
    </w:rPr>
  </w:style>
  <w:style w:styleId="Style_19_ch" w:type="character">
    <w:name w:val="Абзац"/>
    <w:link w:val="Style_19"/>
    <w:rPr>
      <w:rFonts w:ascii="Times New Roman" w:hAnsi="Times New Roman"/>
      <w:sz w:val="24"/>
    </w:rPr>
  </w:style>
  <w:style w:styleId="Style_20" w:type="paragraph">
    <w:name w:val="formattext"/>
    <w:basedOn w:val="Style_7"/>
    <w:link w:val="Style_2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0_ch" w:type="character">
    <w:name w:val="formattext"/>
    <w:basedOn w:val="Style_7_ch"/>
    <w:link w:val="Style_20"/>
    <w:rPr>
      <w:rFonts w:ascii="Times New Roman" w:hAnsi="Times New Roman"/>
      <w:sz w:val="24"/>
    </w:rPr>
  </w:style>
  <w:style w:styleId="Style_6" w:type="paragraph">
    <w:name w:val="Table Paragraph"/>
    <w:basedOn w:val="Style_7"/>
    <w:link w:val="Style_6_ch"/>
  </w:style>
  <w:style w:styleId="Style_6_ch" w:type="character">
    <w:name w:val="Table Paragraph"/>
    <w:basedOn w:val="Style_7_ch"/>
    <w:link w:val="Style_6"/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Обычный текст"/>
    <w:basedOn w:val="Style_7"/>
    <w:link w:val="Style_22_ch"/>
    <w:pPr>
      <w:widowControl w:val="1"/>
      <w:ind w:firstLine="709" w:left="0"/>
      <w:jc w:val="both"/>
    </w:pPr>
    <w:rPr>
      <w:rFonts w:ascii="Times New Roman" w:hAnsi="Times New Roman"/>
      <w:sz w:val="24"/>
    </w:rPr>
  </w:style>
  <w:style w:styleId="Style_22_ch" w:type="character">
    <w:name w:val="Обычный текст"/>
    <w:basedOn w:val="Style_7_ch"/>
    <w:link w:val="Style_22"/>
    <w:rPr>
      <w:rFonts w:ascii="Times New Roman" w:hAnsi="Times New Roman"/>
      <w:sz w:val="24"/>
    </w:rPr>
  </w:style>
  <w:style w:styleId="Style_23" w:type="paragraph">
    <w:name w:val="ConsPlusNormal"/>
    <w:link w:val="Style_23_ch"/>
    <w:pPr>
      <w:widowControl w:val="0"/>
      <w:ind/>
    </w:pPr>
    <w:rPr>
      <w:rFonts w:ascii="Times New Roman" w:hAnsi="Times New Roman"/>
      <w:sz w:val="24"/>
    </w:rPr>
  </w:style>
  <w:style w:styleId="Style_23_ch" w:type="character">
    <w:name w:val="ConsPlusNormal"/>
    <w:link w:val="Style_23"/>
    <w:rPr>
      <w:rFonts w:ascii="Times New Roman" w:hAnsi="Times New Roman"/>
      <w:sz w:val="24"/>
    </w:rPr>
  </w:style>
  <w:style w:styleId="Style_24" w:type="paragraph">
    <w:name w:val="Normal (Web)"/>
    <w:basedOn w:val="Style_7"/>
    <w:link w:val="Style_2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4_ch" w:type="character">
    <w:name w:val="Normal (Web)"/>
    <w:basedOn w:val="Style_7_ch"/>
    <w:link w:val="Style_24"/>
    <w:rPr>
      <w:rFonts w:ascii="Times New Roman" w:hAnsi="Times New Roman"/>
      <w:sz w:val="24"/>
    </w:rPr>
  </w:style>
  <w:style w:styleId="Style_25" w:type="paragraph">
    <w:name w:val="header"/>
    <w:basedOn w:val="Style_7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7_ch"/>
    <w:link w:val="Style_25"/>
  </w:style>
  <w:style w:styleId="Style_26" w:type="paragraph">
    <w:name w:val="Balloon Text"/>
    <w:basedOn w:val="Style_7"/>
    <w:link w:val="Style_26_ch"/>
    <w:rPr>
      <w:rFonts w:ascii="Segoe UI" w:hAnsi="Segoe UI"/>
      <w:sz w:val="18"/>
    </w:rPr>
  </w:style>
  <w:style w:styleId="Style_26_ch" w:type="character">
    <w:name w:val="Balloon Text"/>
    <w:basedOn w:val="Style_7_ch"/>
    <w:link w:val="Style_26"/>
    <w:rPr>
      <w:rFonts w:ascii="Segoe UI" w:hAnsi="Segoe UI"/>
      <w:sz w:val="18"/>
    </w:rPr>
  </w:style>
  <w:style w:styleId="Style_27" w:type="paragraph">
    <w:name w:val="heading 5"/>
    <w:basedOn w:val="Style_7"/>
    <w:next w:val="Style_7"/>
    <w:link w:val="Style_27_ch"/>
    <w:uiPriority w:val="9"/>
    <w:qFormat/>
    <w:pPr>
      <w:keepNext w:val="1"/>
      <w:keepLines w:val="1"/>
      <w:spacing w:before="40"/>
      <w:ind/>
      <w:outlineLvl w:val="4"/>
    </w:pPr>
    <w:rPr>
      <w:rFonts w:ascii="Cambria" w:hAnsi="Cambria"/>
      <w:color w:val="365F91"/>
    </w:rPr>
  </w:style>
  <w:style w:styleId="Style_27_ch" w:type="character">
    <w:name w:val="heading 5"/>
    <w:basedOn w:val="Style_7_ch"/>
    <w:link w:val="Style_27"/>
    <w:rPr>
      <w:rFonts w:ascii="Cambria" w:hAnsi="Cambria"/>
      <w:color w:val="365F91"/>
    </w:rPr>
  </w:style>
  <w:style w:styleId="Style_3" w:type="paragraph">
    <w:name w:val="heading 1"/>
    <w:basedOn w:val="Style_7"/>
    <w:next w:val="Style_7"/>
    <w:link w:val="Style_3_ch"/>
    <w:uiPriority w:val="9"/>
    <w:qFormat/>
    <w:pPr>
      <w:keepNext w:val="1"/>
      <w:keepLines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3_ch" w:type="character">
    <w:name w:val="heading 1"/>
    <w:basedOn w:val="Style_7_ch"/>
    <w:link w:val="Style_3"/>
    <w:rPr>
      <w:rFonts w:ascii="Times New Roman" w:hAnsi="Times New Roman"/>
      <w:b w:val="1"/>
      <w:sz w:val="28"/>
    </w:rPr>
  </w:style>
  <w:style w:styleId="Style_28" w:type="paragraph">
    <w:name w:val="Содержимое таблицы"/>
    <w:basedOn w:val="Style_7"/>
    <w:link w:val="Style_28_ch"/>
    <w:rPr>
      <w:rFonts w:ascii="Times New Roman" w:hAnsi="Times New Roman"/>
      <w:sz w:val="24"/>
    </w:rPr>
  </w:style>
  <w:style w:styleId="Style_28_ch" w:type="character">
    <w:name w:val="Содержимое таблицы"/>
    <w:basedOn w:val="Style_7_ch"/>
    <w:link w:val="Style_28"/>
    <w:rPr>
      <w:rFonts w:ascii="Times New Roman" w:hAnsi="Times New Roman"/>
      <w:sz w:val="24"/>
    </w:rPr>
  </w:style>
  <w:style w:styleId="Style_29" w:type="paragraph">
    <w:name w:val="annotation subject"/>
    <w:basedOn w:val="Style_30"/>
    <w:next w:val="Style_30"/>
    <w:link w:val="Style_29_ch"/>
    <w:rPr>
      <w:b w:val="1"/>
    </w:rPr>
  </w:style>
  <w:style w:styleId="Style_29_ch" w:type="character">
    <w:name w:val="annotation subject"/>
    <w:basedOn w:val="Style_30_ch"/>
    <w:link w:val="Style_29"/>
    <w:rPr>
      <w:b w:val="1"/>
    </w:rPr>
  </w:style>
  <w:style w:styleId="Style_31" w:type="paragraph">
    <w:name w:val="Hyperlink"/>
    <w:basedOn w:val="Style_9"/>
    <w:link w:val="Style_31_ch"/>
    <w:rPr>
      <w:color w:val="0000FF"/>
      <w:u w:val="single"/>
    </w:rPr>
  </w:style>
  <w:style w:styleId="Style_31_ch" w:type="character">
    <w:name w:val="Hyperlink"/>
    <w:basedOn w:val="Style_9_ch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headertext"/>
    <w:basedOn w:val="Style_7"/>
    <w:link w:val="Style_3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33_ch" w:type="character">
    <w:name w:val="headertext"/>
    <w:basedOn w:val="Style_7_ch"/>
    <w:link w:val="Style_33"/>
    <w:rPr>
      <w:rFonts w:ascii="Times New Roman" w:hAnsi="Times New Roman"/>
      <w:sz w:val="24"/>
    </w:rPr>
  </w:style>
  <w:style w:styleId="Style_34" w:type="paragraph">
    <w:name w:val="toc 1"/>
    <w:next w:val="Style_7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List Paragraph"/>
    <w:basedOn w:val="Style_7"/>
    <w:link w:val="Style_36_ch"/>
    <w:pPr>
      <w:ind w:firstLine="710" w:left="259"/>
      <w:jc w:val="both"/>
    </w:pPr>
    <w:rPr>
      <w:sz w:val="20"/>
    </w:rPr>
  </w:style>
  <w:style w:styleId="Style_36_ch" w:type="character">
    <w:name w:val="List Paragraph"/>
    <w:basedOn w:val="Style_7_ch"/>
    <w:link w:val="Style_36"/>
    <w:rPr>
      <w:sz w:val="20"/>
    </w:rPr>
  </w:style>
  <w:style w:styleId="Style_37" w:type="paragraph">
    <w:name w:val="toc 9"/>
    <w:next w:val="Style_7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7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0" w:type="paragraph">
    <w:name w:val="annotation text"/>
    <w:basedOn w:val="Style_7"/>
    <w:link w:val="Style_30_ch"/>
    <w:rPr>
      <w:sz w:val="20"/>
    </w:rPr>
  </w:style>
  <w:style w:styleId="Style_30_ch" w:type="character">
    <w:name w:val="annotation text"/>
    <w:basedOn w:val="Style_7_ch"/>
    <w:link w:val="Style_30"/>
    <w:rPr>
      <w:sz w:val="20"/>
    </w:rPr>
  </w:style>
  <w:style w:styleId="Style_39" w:type="paragraph">
    <w:name w:val="s_1"/>
    <w:basedOn w:val="Style_7"/>
    <w:link w:val="Style_3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39_ch" w:type="character">
    <w:name w:val="s_1"/>
    <w:basedOn w:val="Style_7_ch"/>
    <w:link w:val="Style_39"/>
    <w:rPr>
      <w:rFonts w:ascii="Times New Roman" w:hAnsi="Times New Roman"/>
      <w:sz w:val="24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40" w:type="paragraph">
    <w:name w:val="toc 5"/>
    <w:next w:val="Style_7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pc"/>
    <w:basedOn w:val="Style_7"/>
    <w:link w:val="Style_4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41_ch" w:type="character">
    <w:name w:val="pc"/>
    <w:basedOn w:val="Style_7_ch"/>
    <w:link w:val="Style_41"/>
    <w:rPr>
      <w:rFonts w:ascii="Times New Roman" w:hAnsi="Times New Roman"/>
      <w:sz w:val="24"/>
    </w:rPr>
  </w:style>
  <w:style w:styleId="Style_42" w:type="paragraph">
    <w:name w:val="ConsPlusNonformat"/>
    <w:link w:val="Style_42_ch"/>
    <w:pPr>
      <w:widowControl w:val="0"/>
      <w:ind/>
    </w:pPr>
    <w:rPr>
      <w:rFonts w:ascii="Courier New" w:hAnsi="Courier New"/>
      <w:sz w:val="20"/>
    </w:rPr>
  </w:style>
  <w:style w:styleId="Style_42_ch" w:type="character">
    <w:name w:val="ConsPlusNonformat"/>
    <w:link w:val="Style_42"/>
    <w:rPr>
      <w:rFonts w:ascii="Courier New" w:hAnsi="Courier New"/>
      <w:sz w:val="20"/>
    </w:rPr>
  </w:style>
  <w:style w:styleId="Style_43" w:type="paragraph">
    <w:name w:val="Subtitle"/>
    <w:next w:val="Style_7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" w:type="paragraph">
    <w:name w:val="Body Text"/>
    <w:basedOn w:val="Style_7"/>
    <w:link w:val="Style_4_ch"/>
    <w:pPr>
      <w:ind w:firstLine="710" w:left="259"/>
      <w:jc w:val="both"/>
    </w:pPr>
    <w:rPr>
      <w:sz w:val="28"/>
    </w:rPr>
  </w:style>
  <w:style w:styleId="Style_4_ch" w:type="character">
    <w:name w:val="Body Text"/>
    <w:basedOn w:val="Style_7_ch"/>
    <w:link w:val="Style_4"/>
    <w:rPr>
      <w:sz w:val="28"/>
    </w:rPr>
  </w:style>
  <w:style w:styleId="Style_44" w:type="paragraph">
    <w:name w:val="Default"/>
    <w:link w:val="Style_44_ch"/>
    <w:rPr>
      <w:rFonts w:ascii="Arial" w:hAnsi="Arial"/>
      <w:color w:val="000000"/>
      <w:sz w:val="24"/>
    </w:rPr>
  </w:style>
  <w:style w:styleId="Style_44_ch" w:type="character">
    <w:name w:val="Default"/>
    <w:link w:val="Style_44"/>
    <w:rPr>
      <w:rFonts w:ascii="Arial" w:hAnsi="Arial"/>
      <w:color w:val="000000"/>
      <w:sz w:val="24"/>
    </w:rPr>
  </w:style>
  <w:style w:styleId="Style_45" w:type="paragraph">
    <w:name w:val="No Spacing"/>
    <w:link w:val="Style_45_ch"/>
    <w:pPr>
      <w:widowControl w:val="0"/>
      <w:ind/>
    </w:pPr>
    <w:rPr>
      <w:rFonts w:ascii="Microsoft Sans Serif" w:hAnsi="Microsoft Sans Serif"/>
    </w:rPr>
  </w:style>
  <w:style w:styleId="Style_45_ch" w:type="character">
    <w:name w:val="No Spacing"/>
    <w:link w:val="Style_45"/>
    <w:rPr>
      <w:rFonts w:ascii="Microsoft Sans Serif" w:hAnsi="Microsoft Sans Serif"/>
    </w:rPr>
  </w:style>
  <w:style w:styleId="Style_46" w:type="paragraph">
    <w:name w:val="Title"/>
    <w:basedOn w:val="Style_7"/>
    <w:link w:val="Style_46_ch"/>
    <w:uiPriority w:val="10"/>
    <w:qFormat/>
    <w:pPr>
      <w:widowControl w:val="1"/>
      <w:ind/>
      <w:jc w:val="center"/>
    </w:pPr>
    <w:rPr>
      <w:rFonts w:ascii="Saloon" w:hAnsi="Saloon"/>
      <w:spacing w:val="30"/>
      <w:sz w:val="44"/>
    </w:rPr>
  </w:style>
  <w:style w:styleId="Style_46_ch" w:type="character">
    <w:name w:val="Title"/>
    <w:basedOn w:val="Style_7_ch"/>
    <w:link w:val="Style_46"/>
    <w:rPr>
      <w:rFonts w:ascii="Saloon" w:hAnsi="Saloon"/>
      <w:spacing w:val="30"/>
      <w:sz w:val="44"/>
    </w:rPr>
  </w:style>
  <w:style w:styleId="Style_47" w:type="paragraph">
    <w:name w:val="heading 4"/>
    <w:basedOn w:val="Style_7"/>
    <w:next w:val="Style_7"/>
    <w:link w:val="Style_47_ch"/>
    <w:uiPriority w:val="9"/>
    <w:qFormat/>
    <w:pPr>
      <w:keepNext w:val="1"/>
      <w:keepLines w:val="1"/>
      <w:spacing w:before="40"/>
      <w:ind/>
      <w:outlineLvl w:val="3"/>
    </w:pPr>
    <w:rPr>
      <w:rFonts w:ascii="Cambria" w:hAnsi="Cambria"/>
      <w:i w:val="1"/>
      <w:color w:val="365F91"/>
    </w:rPr>
  </w:style>
  <w:style w:styleId="Style_47_ch" w:type="character">
    <w:name w:val="heading 4"/>
    <w:basedOn w:val="Style_7_ch"/>
    <w:link w:val="Style_47"/>
    <w:rPr>
      <w:rFonts w:ascii="Cambria" w:hAnsi="Cambria"/>
      <w:i w:val="1"/>
      <w:color w:val="365F91"/>
    </w:rPr>
  </w:style>
  <w:style w:styleId="Style_48" w:type="paragraph">
    <w:name w:val="Обычный1"/>
    <w:link w:val="Style_48_ch"/>
    <w:pPr>
      <w:spacing w:after="200" w:line="276" w:lineRule="auto"/>
      <w:ind/>
    </w:pPr>
    <w:rPr>
      <w:rFonts w:ascii="Times New Roman" w:hAnsi="Times New Roman"/>
      <w:color w:val="000000"/>
      <w:sz w:val="28"/>
    </w:rPr>
  </w:style>
  <w:style w:styleId="Style_48_ch" w:type="character">
    <w:name w:val="Обычный1"/>
    <w:link w:val="Style_48"/>
    <w:rPr>
      <w:rFonts w:ascii="Times New Roman" w:hAnsi="Times New Roman"/>
      <w:color w:val="000000"/>
      <w:sz w:val="28"/>
    </w:rPr>
  </w:style>
  <w:style w:styleId="Style_49" w:type="paragraph">
    <w:name w:val="Список_маркерный_1_уровень"/>
    <w:link w:val="Style_49_ch"/>
    <w:pPr>
      <w:spacing w:after="100" w:before="60"/>
      <w:ind w:firstLine="0" w:left="426"/>
      <w:jc w:val="both"/>
    </w:pPr>
    <w:rPr>
      <w:rFonts w:ascii="Times New Roman" w:hAnsi="Times New Roman"/>
      <w:sz w:val="24"/>
    </w:rPr>
  </w:style>
  <w:style w:styleId="Style_49_ch" w:type="character">
    <w:name w:val="Список_маркерный_1_уровень"/>
    <w:link w:val="Style_49"/>
    <w:rPr>
      <w:rFonts w:ascii="Times New Roman" w:hAnsi="Times New Roman"/>
      <w:sz w:val="24"/>
    </w:rPr>
  </w:style>
  <w:style w:styleId="Style_50" w:type="paragraph">
    <w:name w:val="heading 2"/>
    <w:basedOn w:val="Style_7"/>
    <w:link w:val="Style_50_ch"/>
    <w:uiPriority w:val="9"/>
    <w:qFormat/>
    <w:pPr>
      <w:widowControl w:val="1"/>
      <w:ind/>
      <w:jc w:val="center"/>
      <w:outlineLvl w:val="1"/>
    </w:pPr>
    <w:rPr>
      <w:rFonts w:ascii="Times New Roman" w:hAnsi="Times New Roman"/>
      <w:b w:val="1"/>
      <w:sz w:val="28"/>
    </w:rPr>
  </w:style>
  <w:style w:styleId="Style_50_ch" w:type="character">
    <w:name w:val="heading 2"/>
    <w:basedOn w:val="Style_7_ch"/>
    <w:link w:val="Style_50"/>
    <w:rPr>
      <w:rFonts w:ascii="Times New Roman" w:hAnsi="Times New Roman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Normal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2" w:type="table">
    <w:name w:val="Table Grid"/>
    <w:basedOn w:val="Style_5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2024-11-21T06:40:33Z</dcterms:modified>
</cp:coreProperties>
</file>