
<file path=[Content_Types].xml><?xml version="1.0" encoding="utf-8"?>
<Types xmlns="http://schemas.openxmlformats.org/package/2006/content-types">
  <Default ContentType="image/png" Extension="png"/>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B000000">
      <w:pPr>
        <w:spacing w:line="276" w:lineRule="auto"/>
        <w:ind/>
      </w:pPr>
    </w:p>
    <w:p w14:paraId="0C000000">
      <w:pPr>
        <w:spacing w:line="276" w:lineRule="auto"/>
        <w:ind/>
        <w:jc w:val="center"/>
      </w:pPr>
      <w:r>
        <w:drawing>
          <wp:inline>
            <wp:extent cx="540385" cy="803275"/>
            <wp:effectExtent b="0" l="0" r="0" t="0"/>
            <wp:docPr hidden="false" id="2" name="Picture 2"/>
            <a:graphic>
              <a:graphicData uri="http://schemas.openxmlformats.org/drawingml/2006/picture">
                <pic:pic>
                  <pic:nvPicPr>
                    <pic:cNvPr hidden="false" id="1" name="Picture 1"/>
                    <pic:cNvPicPr preferRelativeResize="true"/>
                  </pic:nvPicPr>
                  <pic:blipFill>
                    <a:blip r:embed="rId6"/>
                    <a:srcRect b="0" l="0" r="0" t="0"/>
                    <a:stretch/>
                  </pic:blipFill>
                  <pic:spPr>
                    <a:xfrm flipH="false" flipV="false" rot="0">
                      <a:ext cx="540385" cy="803275"/>
                    </a:xfrm>
                    <a:prstGeom prst="rect"/>
                  </pic:spPr>
                </pic:pic>
              </a:graphicData>
            </a:graphic>
          </wp:inline>
        </w:drawing>
      </w:r>
    </w:p>
    <w:p w14:paraId="0D000000">
      <w:pPr>
        <w:spacing w:line="276" w:lineRule="auto"/>
        <w:ind/>
        <w:jc w:val="center"/>
      </w:pPr>
    </w:p>
    <w:p w14:paraId="0E000000">
      <w:pPr>
        <w:ind/>
        <w:jc w:val="center"/>
        <w:rPr>
          <w:b w:val="1"/>
          <w:sz w:val="36"/>
        </w:rPr>
      </w:pPr>
      <w:r>
        <w:rPr>
          <w:b w:val="1"/>
          <w:sz w:val="36"/>
        </w:rPr>
        <w:t>АДМИНИСТРАЦИЯ ГОРОДА БАТАЙСКА</w:t>
      </w:r>
    </w:p>
    <w:p w14:paraId="0F000000">
      <w:pPr>
        <w:ind/>
        <w:jc w:val="center"/>
        <w:rPr>
          <w:sz w:val="26"/>
        </w:rPr>
      </w:pPr>
    </w:p>
    <w:p w14:paraId="10000000">
      <w:pPr>
        <w:ind/>
        <w:jc w:val="center"/>
        <w:outlineLvl w:val="0"/>
        <w:rPr>
          <w:b w:val="1"/>
          <w:sz w:val="36"/>
        </w:rPr>
      </w:pPr>
      <w:r>
        <w:rPr>
          <w:b w:val="1"/>
          <w:sz w:val="36"/>
        </w:rPr>
        <w:t>ПОСТАНОВЛЕНИЕ</w:t>
      </w:r>
    </w:p>
    <w:p w14:paraId="11000000">
      <w:pPr>
        <w:ind/>
        <w:jc w:val="center"/>
        <w:rPr>
          <w:b w:val="1"/>
          <w:spacing w:val="38"/>
          <w:sz w:val="26"/>
        </w:rPr>
      </w:pPr>
    </w:p>
    <w:p w14:paraId="12000000">
      <w:pPr>
        <w:ind/>
        <w:jc w:val="center"/>
      </w:pPr>
      <w:r>
        <w:t>от ______________ № _____</w:t>
      </w:r>
    </w:p>
    <w:p w14:paraId="13000000">
      <w:pPr>
        <w:ind/>
        <w:jc w:val="center"/>
        <w:rPr>
          <w:sz w:val="26"/>
        </w:rPr>
      </w:pPr>
    </w:p>
    <w:p w14:paraId="14000000">
      <w:pPr>
        <w:ind/>
        <w:jc w:val="center"/>
      </w:pPr>
      <w:r>
        <w:t>г. Батайск</w:t>
      </w:r>
    </w:p>
    <w:p w14:paraId="15000000">
      <w:pPr>
        <w:spacing w:line="276" w:lineRule="auto"/>
        <w:ind/>
        <w:jc w:val="center"/>
      </w:pPr>
    </w:p>
    <w:p w14:paraId="16000000"/>
    <w:p w14:paraId="17000000">
      <w:pPr>
        <w:ind/>
        <w:jc w:val="center"/>
      </w:pPr>
      <w:r>
        <w:rPr>
          <w:b w:val="1"/>
        </w:rPr>
        <w:t>Об утверждении «Порядка предоставления субсиди</w:t>
      </w:r>
      <w:r>
        <w:rPr>
          <w:b w:val="1"/>
        </w:rPr>
        <w:t>и</w:t>
      </w:r>
      <w:r>
        <w:rPr>
          <w:b w:val="1"/>
        </w:rPr>
        <w:t xml:space="preserve"> юридическим лицам (кроме некоммерческих организаций), индивидуальным предпринимателям – производителям товаров, работ, услуг и субсидии юридическим лицам, индивидуальным предпринимателям,</w:t>
      </w:r>
      <w:r>
        <w:t xml:space="preserve"> </w:t>
      </w:r>
      <w:r>
        <w:rPr>
          <w:b w:val="1"/>
        </w:rPr>
        <w:t>осуществляющим регулярные перевозки пассажиров и багажа автомобильным транспортом</w:t>
      </w:r>
      <w:r>
        <w:rPr>
          <w:b w:val="1"/>
        </w:rPr>
        <w:t xml:space="preserve"> по муниципальным маршрутам города Батайска на компенсацию </w:t>
      </w:r>
      <w:r>
        <w:rPr>
          <w:b w:val="1"/>
        </w:rPr>
        <w:t>выпадающих доходов из-за разницы между тарифом на перевозку пассажиров и багажа и экономически обоснованным тарифом»</w:t>
      </w:r>
    </w:p>
    <w:p w14:paraId="18000000"/>
    <w:p w14:paraId="19000000">
      <w:pPr>
        <w:ind w:firstLine="709"/>
        <w:jc w:val="both"/>
      </w:pPr>
      <w:r>
        <w:t>В соответствии со статьей 78 Бюджетного кодекса Российской Федерации,</w:t>
      </w:r>
      <w:r>
        <w:t xml:space="preserve"> </w:t>
      </w:r>
      <w:r>
        <w:rPr>
          <w:rFonts w:ascii="Times New Roman" w:hAnsi="Times New Roman"/>
          <w:sz w:val="28"/>
        </w:rPr>
        <w:t>с</w:t>
      </w:r>
      <w:r>
        <w:rPr>
          <w:rFonts w:ascii="Times New Roman" w:hAnsi="Times New Roman"/>
          <w:color w:val="000000"/>
          <w:sz w:val="28"/>
        </w:rPr>
        <w:t xml:space="preserve"> </w:t>
      </w:r>
      <w:r>
        <w:rPr>
          <w:rFonts w:ascii="Times New Roman" w:hAnsi="Times New Roman"/>
          <w:color w:val="000000"/>
          <w:sz w:val="28"/>
        </w:rPr>
        <w:t>Постановлением</w:t>
      </w:r>
      <w:r>
        <w:rPr>
          <w:rFonts w:ascii="Times New Roman" w:hAnsi="Times New Roman"/>
          <w:color w:val="000000"/>
          <w:sz w:val="28"/>
        </w:rPr>
        <w:t xml:space="preserve"> Прав</w:t>
      </w:r>
      <w:r>
        <w:rPr>
          <w:rFonts w:ascii="Times New Roman" w:hAnsi="Times New Roman"/>
          <w:color w:val="000000"/>
          <w:sz w:val="28"/>
        </w:rPr>
        <w:t>ительства Российской Федерации от 25.10.2023 № 1782 "Об утвержден</w:t>
      </w:r>
      <w:r>
        <w:rPr>
          <w:rFonts w:ascii="Times New Roman" w:hAnsi="Times New Roman"/>
          <w:sz w:val="28"/>
        </w:rPr>
        <w:t>ии общих требований к нормативн</w:t>
      </w:r>
      <w:r>
        <w:rPr>
          <w:rFonts w:ascii="Times New Roman" w:hAnsi="Times New Roman"/>
          <w:sz w:val="28"/>
        </w:rPr>
        <w:t>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w:t>
      </w:r>
      <w:r>
        <w:rPr>
          <w:rFonts w:ascii="Times New Roman" w:hAnsi="Times New Roman"/>
          <w:sz w:val="28"/>
        </w:rPr>
        <w:t xml:space="preserve"> лицам - производителям товаров, работ, услуг и проведение отборов получателей указанных субсидий, в том числе грантов в форме субсидий"</w:t>
      </w:r>
      <w:r>
        <w:t>,</w:t>
      </w:r>
      <w:r>
        <w:t xml:space="preserve"> Администрация города Батайска </w:t>
      </w:r>
      <w:r>
        <w:rPr>
          <w:b w:val="1"/>
        </w:rPr>
        <w:t>постановляет:</w:t>
      </w:r>
    </w:p>
    <w:p w14:paraId="1A000000">
      <w:pPr>
        <w:ind w:firstLine="709"/>
        <w:jc w:val="both"/>
      </w:pPr>
      <w:bookmarkStart w:id="1" w:name="_Hlk505677969"/>
      <w:bookmarkEnd w:id="1"/>
    </w:p>
    <w:p w14:paraId="1B000000">
      <w:pPr>
        <w:ind w:firstLine="709"/>
        <w:jc w:val="both"/>
      </w:pPr>
      <w:r>
        <w:t xml:space="preserve">1. </w:t>
      </w:r>
      <w:r>
        <w:t>Утвер</w:t>
      </w:r>
      <w:r>
        <w:t>д</w:t>
      </w:r>
      <w:r>
        <w:rPr>
          <w:b w:val="0"/>
        </w:rPr>
        <w:t xml:space="preserve">ить </w:t>
      </w:r>
      <w:r>
        <w:rPr>
          <w:b w:val="0"/>
        </w:rPr>
        <w:t>Порядок предоставления субсиди</w:t>
      </w:r>
      <w:r>
        <w:rPr>
          <w:b w:val="0"/>
        </w:rPr>
        <w:t>и</w:t>
      </w:r>
      <w:r>
        <w:rPr>
          <w:b w:val="0"/>
        </w:rPr>
        <w:t xml:space="preserve"> юридическим лицам (кроме некоммерческих организаций), индивидуальным предпринимателям – производителям товаров, работ, услуг и субсидии юридическим лицам, индивидуальным предпринимателям,</w:t>
      </w:r>
      <w:r>
        <w:rPr>
          <w:b w:val="0"/>
        </w:rPr>
        <w:t xml:space="preserve"> </w:t>
      </w:r>
      <w:r>
        <w:rPr>
          <w:b w:val="0"/>
        </w:rPr>
        <w:t>осуществляющим регулярные перевозки пассажиров и багажа автомобильным транспортом</w:t>
      </w:r>
      <w:r>
        <w:rPr>
          <w:b w:val="0"/>
        </w:rPr>
        <w:t xml:space="preserve"> по муниципальным маршрутам города Батайска на компенсацию </w:t>
      </w:r>
      <w:r>
        <w:rPr>
          <w:b w:val="0"/>
        </w:rPr>
        <w:t>выпадающих доходов из-за разницы между тарифом на перевозку пассажиров и багажа и экономически обоснованным тарифом</w:t>
      </w:r>
      <w:r>
        <w:rPr>
          <w:b w:val="0"/>
        </w:rPr>
        <w:t>,</w:t>
      </w:r>
      <w:r>
        <w:t xml:space="preserve"> </w:t>
      </w:r>
      <w:r>
        <w:t>со</w:t>
      </w:r>
      <w:r>
        <w:t>гласно приложению № 1</w:t>
      </w:r>
      <w:r>
        <w:rPr>
          <w:color w:val="000000"/>
        </w:rPr>
        <w:t>.</w:t>
      </w:r>
    </w:p>
    <w:p w14:paraId="1C000000">
      <w:pPr>
        <w:ind w:firstLine="709"/>
        <w:jc w:val="both"/>
      </w:pPr>
      <w:r>
        <w:rPr>
          <w:color w:val="000000"/>
        </w:rPr>
        <w:t>2</w:t>
      </w:r>
      <w:r>
        <w:rPr>
          <w:color w:val="000000"/>
        </w:rPr>
        <w:t>. Утвердить положение о комиссии</w:t>
      </w:r>
      <w:r>
        <w:rPr>
          <w:color w:val="000000"/>
        </w:rPr>
        <w:t xml:space="preserve"> </w:t>
      </w:r>
      <w:r>
        <w:t>для</w:t>
      </w:r>
      <w:r>
        <w:t xml:space="preserve"> отбора получателей </w:t>
      </w:r>
      <w:r>
        <w:rPr>
          <w:b w:val="0"/>
        </w:rPr>
        <w:t>субсиди</w:t>
      </w:r>
      <w:r>
        <w:rPr>
          <w:b w:val="0"/>
        </w:rPr>
        <w:t>и</w:t>
      </w:r>
      <w:r>
        <w:rPr>
          <w:b w:val="0"/>
        </w:rPr>
        <w:t xml:space="preserve"> юридическим лицам (кроме некоммерческих организаций), индивидуальным предпринимателям – производителям товаров, работ, услуг и субсидии юридическим лицам, индивидуальным предпринимателям,</w:t>
      </w:r>
      <w:r>
        <w:rPr>
          <w:b w:val="0"/>
        </w:rPr>
        <w:t xml:space="preserve"> </w:t>
      </w:r>
      <w:r>
        <w:rPr>
          <w:b w:val="0"/>
        </w:rPr>
        <w:t>осуществляющим регулярные перевозки пассажиров и багажа автомобильным транспортом</w:t>
      </w:r>
      <w:r>
        <w:rPr>
          <w:b w:val="0"/>
        </w:rPr>
        <w:t xml:space="preserve"> по муниципальным маршрутам города Батайска на компенсацию </w:t>
      </w:r>
      <w:r>
        <w:rPr>
          <w:b w:val="0"/>
        </w:rPr>
        <w:t>выпадающих доходов из-за разницы между тарифом на перевозку пассажиров и багажа и экономически обоснованным тарифом</w:t>
      </w:r>
      <w:r>
        <w:t>,</w:t>
      </w:r>
      <w:r>
        <w:t xml:space="preserve"> </w:t>
      </w:r>
      <w:r>
        <w:t>согласно приложению № 2.</w:t>
      </w:r>
    </w:p>
    <w:p w14:paraId="1D000000">
      <w:pPr>
        <w:ind w:firstLine="720"/>
        <w:jc w:val="both"/>
      </w:pPr>
      <w:r>
        <w:rPr>
          <w:color w:val="000000"/>
        </w:rPr>
        <w:t>3</w:t>
      </w:r>
      <w:r>
        <w:rPr>
          <w:color w:val="000000"/>
        </w:rPr>
        <w:t xml:space="preserve">. </w:t>
      </w:r>
      <w:r>
        <w:rPr>
          <w:color w:val="000000"/>
        </w:rPr>
        <w:t xml:space="preserve">Утвердить </w:t>
      </w:r>
      <w:r>
        <w:t xml:space="preserve">состав комиссии </w:t>
      </w:r>
      <w:r>
        <w:t xml:space="preserve">для отбора получателей </w:t>
      </w:r>
      <w:r>
        <w:rPr>
          <w:b w:val="0"/>
        </w:rPr>
        <w:t>субсиди</w:t>
      </w:r>
      <w:r>
        <w:rPr>
          <w:b w:val="0"/>
        </w:rPr>
        <w:t>и</w:t>
      </w:r>
      <w:r>
        <w:rPr>
          <w:b w:val="0"/>
        </w:rPr>
        <w:t xml:space="preserve"> юридическим лицам (кроме некоммерческих организаций), индивидуальным предпринимателям – производителям товаров, работ, услуг и субсидии юридическим лицам, индивидуальным предпринимателям,</w:t>
      </w:r>
      <w:r>
        <w:rPr>
          <w:b w:val="0"/>
        </w:rPr>
        <w:t xml:space="preserve"> </w:t>
      </w:r>
      <w:r>
        <w:rPr>
          <w:b w:val="0"/>
        </w:rPr>
        <w:t>осуществляющим регулярные перевозки пассажиров и багажа автомобильным транспортом</w:t>
      </w:r>
      <w:r>
        <w:rPr>
          <w:b w:val="0"/>
        </w:rPr>
        <w:t xml:space="preserve"> по муниципальным маршрутам города Батайска на компенсацию </w:t>
      </w:r>
      <w:r>
        <w:rPr>
          <w:b w:val="0"/>
        </w:rPr>
        <w:t>выпадающих доходов из-за разницы между тарифом на перевозку пассажиров и багажа и экономически обоснованным тарифом</w:t>
      </w:r>
      <w:r>
        <w:t>,</w:t>
      </w:r>
      <w:r>
        <w:t xml:space="preserve"> </w:t>
      </w:r>
      <w:r>
        <w:t>согласно</w:t>
      </w:r>
      <w:r>
        <w:t xml:space="preserve"> </w:t>
      </w:r>
      <w:r>
        <w:t xml:space="preserve">приложению № </w:t>
      </w:r>
      <w:r>
        <w:t>3.</w:t>
      </w:r>
    </w:p>
    <w:p w14:paraId="1E000000">
      <w:pPr>
        <w:ind w:firstLine="720"/>
        <w:jc w:val="both"/>
      </w:pPr>
      <w:r>
        <w:t>4. Признать утратившим силу постановление Администрации города Батайска от 24.11.2023 № 3253</w:t>
      </w:r>
      <w:r>
        <w:rPr>
          <w:b w:val="0"/>
        </w:rPr>
        <w:t xml:space="preserve"> «</w:t>
      </w:r>
      <w:r>
        <w:rPr>
          <w:b w:val="0"/>
        </w:rPr>
        <w:t>Об утверждении положения о порядке предоставления субсиди</w:t>
      </w:r>
      <w:r>
        <w:rPr>
          <w:b w:val="0"/>
        </w:rPr>
        <w:t>и</w:t>
      </w:r>
      <w:r>
        <w:rPr>
          <w:b w:val="0"/>
        </w:rPr>
        <w:t xml:space="preserve"> из бюджета </w:t>
      </w:r>
      <w:r>
        <w:rPr>
          <w:b w:val="0"/>
        </w:rPr>
        <w:t xml:space="preserve">города </w:t>
      </w:r>
      <w:r>
        <w:rPr>
          <w:b w:val="0"/>
        </w:rPr>
        <w:t>Батайска на компенсацию</w:t>
      </w:r>
      <w:r>
        <w:rPr>
          <w:b w:val="0"/>
        </w:rPr>
        <w:t xml:space="preserve"> </w:t>
      </w:r>
      <w:r>
        <w:rPr>
          <w:b w:val="0"/>
        </w:rPr>
        <w:t>перевозчикам,</w:t>
      </w:r>
      <w:r>
        <w:rPr>
          <w:b w:val="0"/>
        </w:rPr>
        <w:t xml:space="preserve"> </w:t>
      </w:r>
      <w:r>
        <w:rPr>
          <w:b w:val="0"/>
        </w:rPr>
        <w:t>осуществляющим регулярные перевозки пассажиров и багажа автомобильным транспортом</w:t>
      </w:r>
      <w:r>
        <w:rPr>
          <w:b w:val="0"/>
        </w:rPr>
        <w:t xml:space="preserve"> по муниципальным маршрутам города Батайска</w:t>
      </w:r>
      <w:r>
        <w:rPr>
          <w:b w:val="0"/>
        </w:rPr>
        <w:t>, выпадающих доходов из-за разницы между тарифом на перевозку пассажиров и багажа и экономически обоснованным тарифом».</w:t>
      </w:r>
    </w:p>
    <w:p w14:paraId="1F000000">
      <w:pPr>
        <w:ind w:firstLine="709"/>
        <w:jc w:val="both"/>
        <w:rPr>
          <w:color w:val="000000"/>
        </w:rPr>
      </w:pPr>
      <w:r>
        <w:rPr>
          <w:color w:val="000000"/>
        </w:rPr>
        <w:t xml:space="preserve">5. </w:t>
      </w:r>
      <w:r>
        <w:rPr>
          <w:color w:val="000000"/>
        </w:rPr>
        <w:t>Настоящее п</w:t>
      </w:r>
      <w:r>
        <w:rPr>
          <w:color w:val="000000"/>
        </w:rPr>
        <w:t>остановление вступа</w:t>
      </w:r>
      <w:r>
        <w:rPr>
          <w:color w:val="000000"/>
        </w:rPr>
        <w:t>ет в силу со дня</w:t>
      </w:r>
      <w:r>
        <w:rPr>
          <w:color w:val="000000"/>
        </w:rPr>
        <w:t xml:space="preserve"> его</w:t>
      </w:r>
      <w:r>
        <w:rPr>
          <w:color w:val="000000"/>
        </w:rPr>
        <w:t xml:space="preserve"> </w:t>
      </w:r>
      <w:r>
        <w:rPr>
          <w:color w:val="000000"/>
        </w:rPr>
        <w:t>подписания</w:t>
      </w:r>
      <w:r>
        <w:rPr>
          <w:color w:val="000000"/>
        </w:rPr>
        <w:t>.</w:t>
      </w:r>
    </w:p>
    <w:p w14:paraId="20000000">
      <w:pPr>
        <w:ind w:firstLine="709"/>
        <w:jc w:val="both"/>
        <w:rPr>
          <w:color w:val="000000"/>
        </w:rPr>
      </w:pPr>
      <w:r>
        <w:rPr>
          <w:color w:val="000000"/>
        </w:rPr>
        <w:t xml:space="preserve">6. </w:t>
      </w:r>
      <w:r>
        <w:t>Настоящее постановление подлежит включению в регистр муниципальных нормативных правовых актов Ростовской области.</w:t>
      </w:r>
    </w:p>
    <w:p w14:paraId="21000000">
      <w:pPr>
        <w:ind w:firstLine="709"/>
        <w:jc w:val="both"/>
      </w:pPr>
      <w:r>
        <w:rPr>
          <w:color w:val="000000"/>
        </w:rPr>
        <w:t>7.</w:t>
      </w:r>
      <w:r>
        <w:rPr>
          <w:color w:val="000000"/>
        </w:rPr>
        <w:t xml:space="preserve"> </w:t>
      </w:r>
      <w:r>
        <w:rPr>
          <w:color w:val="000000"/>
        </w:rPr>
        <w:t>Настоящее п</w:t>
      </w:r>
      <w:r>
        <w:rPr>
          <w:color w:val="000000"/>
        </w:rPr>
        <w:t xml:space="preserve">остановление </w:t>
      </w:r>
      <w:r>
        <w:rPr>
          <w:color w:val="000000"/>
        </w:rPr>
        <w:t xml:space="preserve">подлежит размещению на </w:t>
      </w:r>
      <w:r>
        <w:rPr>
          <w:color w:val="000000"/>
        </w:rPr>
        <w:t xml:space="preserve">официальном </w:t>
      </w:r>
      <w:r>
        <w:rPr>
          <w:color w:val="000000"/>
        </w:rPr>
        <w:t>сайте</w:t>
      </w:r>
      <w:r>
        <w:rPr>
          <w:color w:val="000000"/>
        </w:rPr>
        <w:t xml:space="preserve"> Администрации </w:t>
      </w:r>
      <w:r>
        <w:rPr>
          <w:color w:val="000000"/>
        </w:rPr>
        <w:t>города Батайска</w:t>
      </w:r>
      <w:r>
        <w:rPr>
          <w:color w:val="000000"/>
        </w:rPr>
        <w:t>.</w:t>
      </w:r>
    </w:p>
    <w:p w14:paraId="22000000">
      <w:pPr>
        <w:tabs>
          <w:tab w:leader="none" w:pos="993" w:val="left"/>
          <w:tab w:leader="none" w:pos="1134" w:val="left"/>
        </w:tabs>
        <w:ind w:firstLine="709"/>
        <w:jc w:val="both"/>
        <w:rPr>
          <w:color w:val="000000"/>
        </w:rPr>
      </w:pPr>
      <w:r>
        <w:rPr>
          <w:color w:val="000000"/>
        </w:rPr>
        <w:t xml:space="preserve">8. </w:t>
      </w:r>
      <w:r>
        <w:rPr>
          <w:color w:val="000000"/>
        </w:rPr>
        <w:t>Контроль за</w:t>
      </w:r>
      <w:r>
        <w:rPr>
          <w:color w:val="000000"/>
        </w:rPr>
        <w:t xml:space="preserve"> </w:t>
      </w:r>
      <w:r>
        <w:rPr>
          <w:color w:val="000000"/>
        </w:rPr>
        <w:t>исполнением настоящего</w:t>
      </w:r>
      <w:r>
        <w:rPr>
          <w:color w:val="000000"/>
        </w:rPr>
        <w:t xml:space="preserve"> постановления возложить на заместителя главы Администрации </w:t>
      </w:r>
      <w:r>
        <w:rPr>
          <w:color w:val="000000"/>
        </w:rPr>
        <w:t xml:space="preserve">города Батайска по экономике                        </w:t>
      </w:r>
      <w:r>
        <w:rPr>
          <w:color w:val="000000"/>
        </w:rPr>
        <w:t>Деркач К.А.</w:t>
      </w:r>
    </w:p>
    <w:p w14:paraId="23000000">
      <w:pPr>
        <w:ind/>
        <w:jc w:val="both"/>
        <w:rPr>
          <w:color w:val="000000"/>
        </w:rPr>
      </w:pPr>
    </w:p>
    <w:p w14:paraId="24000000">
      <w:pPr>
        <w:ind/>
        <w:jc w:val="both"/>
        <w:rPr>
          <w:color w:val="000000"/>
        </w:rPr>
      </w:pPr>
    </w:p>
    <w:p w14:paraId="25000000">
      <w:pPr>
        <w:ind/>
        <w:jc w:val="both"/>
        <w:rPr>
          <w:color w:val="000000"/>
        </w:rPr>
      </w:pPr>
      <w:r>
        <w:rPr>
          <w:color w:val="000000"/>
        </w:rPr>
        <w:t>Глава города Батайска</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В.Е. Кукин</w:t>
      </w:r>
    </w:p>
    <w:p w14:paraId="26000000">
      <w:pPr>
        <w:ind/>
        <w:jc w:val="both"/>
        <w:rPr>
          <w:color w:val="000000"/>
        </w:rPr>
      </w:pPr>
    </w:p>
    <w:p w14:paraId="27000000">
      <w:pPr>
        <w:ind/>
        <w:jc w:val="both"/>
        <w:rPr>
          <w:color w:val="000000"/>
        </w:rPr>
      </w:pPr>
    </w:p>
    <w:p w14:paraId="28000000">
      <w:pPr>
        <w:ind/>
        <w:jc w:val="both"/>
        <w:rPr>
          <w:color w:val="000000"/>
        </w:rPr>
      </w:pPr>
      <w:r>
        <w:rPr>
          <w:color w:val="000000"/>
        </w:rPr>
        <w:t>Постановление вносит</w:t>
      </w:r>
    </w:p>
    <w:p w14:paraId="29000000">
      <w:pPr>
        <w:ind/>
        <w:jc w:val="both"/>
        <w:rPr>
          <w:color w:val="000000"/>
        </w:rPr>
      </w:pPr>
      <w:r>
        <w:rPr>
          <w:color w:val="000000"/>
        </w:rPr>
        <w:t>отдел экономики, инв</w:t>
      </w:r>
      <w:r>
        <w:rPr>
          <w:color w:val="000000"/>
        </w:rPr>
        <w:t>естиционной</w:t>
      </w:r>
    </w:p>
    <w:p w14:paraId="2A000000">
      <w:pPr>
        <w:ind w:hanging="426" w:left="426"/>
        <w:jc w:val="both"/>
        <w:rPr>
          <w:color w:val="000000"/>
        </w:rPr>
      </w:pPr>
      <w:r>
        <w:rPr>
          <w:color w:val="000000"/>
        </w:rPr>
        <w:t xml:space="preserve">политики </w:t>
      </w:r>
      <w:r>
        <w:rPr>
          <w:color w:val="000000"/>
        </w:rPr>
        <w:t>и стратегического развития</w:t>
      </w:r>
    </w:p>
    <w:p w14:paraId="2B000000">
      <w:pPr>
        <w:ind w:hanging="426" w:left="426"/>
        <w:jc w:val="both"/>
        <w:rPr>
          <w:color w:val="000000"/>
        </w:rPr>
      </w:pPr>
      <w:r>
        <w:rPr>
          <w:color w:val="000000"/>
        </w:rPr>
        <w:t>Администрации города Батайск</w:t>
      </w:r>
      <w:r>
        <w:rPr>
          <w:color w:val="000000"/>
        </w:rPr>
        <w:t>а</w:t>
      </w:r>
    </w:p>
    <w:p w14:paraId="2C000000">
      <w:pPr>
        <w:ind/>
        <w:jc w:val="both"/>
        <w:rPr>
          <w:color w:val="000000"/>
        </w:rPr>
      </w:pPr>
    </w:p>
    <w:p w14:paraId="2D000000">
      <w:pPr>
        <w:ind w:left="5954"/>
        <w:jc w:val="center"/>
      </w:pPr>
      <w:r>
        <w:rPr>
          <w:color w:val="000000"/>
        </w:rPr>
        <w:br w:type="page"/>
      </w:r>
      <w:bookmarkStart w:id="2" w:name="_Hlk504051809"/>
      <w:r>
        <w:t>Приложение</w:t>
      </w:r>
      <w:r>
        <w:t xml:space="preserve"> № 1</w:t>
      </w:r>
    </w:p>
    <w:p w14:paraId="2E000000">
      <w:pPr>
        <w:pStyle w:val="Style_2"/>
        <w:widowControl w:val="1"/>
        <w:ind w:firstLine="0" w:left="5954" w:right="0"/>
        <w:jc w:val="center"/>
        <w:rPr>
          <w:rFonts w:ascii="Times New Roman" w:hAnsi="Times New Roman"/>
          <w:sz w:val="28"/>
        </w:rPr>
      </w:pPr>
      <w:r>
        <w:rPr>
          <w:rFonts w:ascii="Times New Roman" w:hAnsi="Times New Roman"/>
          <w:sz w:val="28"/>
        </w:rPr>
        <w:t>к постановлению</w:t>
      </w:r>
    </w:p>
    <w:p w14:paraId="2F000000">
      <w:pPr>
        <w:pStyle w:val="Style_2"/>
        <w:widowControl w:val="1"/>
        <w:ind w:firstLine="0" w:left="5954" w:right="0"/>
        <w:jc w:val="center"/>
        <w:rPr>
          <w:rFonts w:ascii="Times New Roman" w:hAnsi="Times New Roman"/>
          <w:sz w:val="28"/>
        </w:rPr>
      </w:pPr>
      <w:r>
        <w:rPr>
          <w:rFonts w:ascii="Times New Roman" w:hAnsi="Times New Roman"/>
          <w:sz w:val="28"/>
        </w:rPr>
        <w:t>Администрации</w:t>
      </w:r>
    </w:p>
    <w:p w14:paraId="30000000">
      <w:pPr>
        <w:pStyle w:val="Style_2"/>
        <w:widowControl w:val="1"/>
        <w:ind w:firstLine="0" w:left="5954" w:right="0"/>
        <w:jc w:val="center"/>
        <w:rPr>
          <w:rFonts w:ascii="Times New Roman" w:hAnsi="Times New Roman"/>
          <w:sz w:val="28"/>
        </w:rPr>
      </w:pPr>
      <w:r>
        <w:rPr>
          <w:rFonts w:ascii="Times New Roman" w:hAnsi="Times New Roman"/>
          <w:sz w:val="28"/>
        </w:rPr>
        <w:t>города Батайска</w:t>
      </w:r>
    </w:p>
    <w:p w14:paraId="31000000">
      <w:pPr>
        <w:pStyle w:val="Style_2"/>
        <w:widowControl w:val="1"/>
        <w:ind w:firstLine="0" w:left="5954" w:right="0"/>
        <w:jc w:val="center"/>
        <w:rPr>
          <w:rFonts w:ascii="Times New Roman" w:hAnsi="Times New Roman"/>
          <w:sz w:val="28"/>
        </w:rPr>
      </w:pPr>
      <w:r>
        <w:rPr>
          <w:rFonts w:ascii="Times New Roman" w:hAnsi="Times New Roman"/>
          <w:sz w:val="28"/>
        </w:rPr>
        <w:t>от ___________ № _____</w:t>
      </w:r>
      <w:bookmarkEnd w:id="2"/>
    </w:p>
    <w:p w14:paraId="32000000">
      <w:pPr>
        <w:ind w:left="567" w:right="565"/>
        <w:jc w:val="center"/>
        <w:rPr>
          <w:b w:val="0"/>
          <w:color w:val="000000"/>
        </w:rPr>
      </w:pPr>
    </w:p>
    <w:p w14:paraId="33000000">
      <w:pPr>
        <w:widowControl w:val="0"/>
        <w:spacing w:after="0" w:line="240" w:lineRule="auto"/>
        <w:ind/>
        <w:jc w:val="center"/>
        <w:rPr>
          <w:rFonts w:ascii="Times New Roman" w:hAnsi="Times New Roman"/>
          <w:b w:val="0"/>
          <w:color w:val="000000"/>
          <w:sz w:val="28"/>
        </w:rPr>
      </w:pPr>
      <w:r>
        <w:rPr>
          <w:b w:val="0"/>
        </w:rPr>
        <w:t>Порядок предоставления субсиди</w:t>
      </w:r>
      <w:r>
        <w:rPr>
          <w:b w:val="0"/>
        </w:rPr>
        <w:t>и</w:t>
      </w:r>
      <w:r>
        <w:rPr>
          <w:b w:val="0"/>
        </w:rPr>
        <w:t xml:space="preserve"> юридическим лицам (кроме некоммерческих организаций), индивидуальным предпринимателям – производителям товаров, работ, услуг и субсидии юридическим лицам, индивидуальным предпринимателям,</w:t>
      </w:r>
      <w:r>
        <w:rPr>
          <w:b w:val="0"/>
        </w:rPr>
        <w:t xml:space="preserve"> </w:t>
      </w:r>
      <w:r>
        <w:rPr>
          <w:b w:val="0"/>
        </w:rPr>
        <w:t>осуществляющим регулярные перевозки пассажиров и багажа автомобильным транспортом</w:t>
      </w:r>
      <w:r>
        <w:rPr>
          <w:b w:val="0"/>
        </w:rPr>
        <w:t xml:space="preserve"> по муниципальным маршрутам города Батайска на компенсацию </w:t>
      </w:r>
      <w:r>
        <w:rPr>
          <w:b w:val="0"/>
        </w:rPr>
        <w:t>выпадающих доходов из-за разницы между тарифом на перевозку пассажиров и багажа и экономически обоснованным тарифом</w:t>
      </w:r>
    </w:p>
    <w:p w14:paraId="34000000">
      <w:pPr>
        <w:widowControl w:val="0"/>
        <w:spacing w:after="0" w:line="240" w:lineRule="auto"/>
        <w:ind/>
        <w:jc w:val="center"/>
        <w:rPr>
          <w:rFonts w:ascii="Times New Roman" w:hAnsi="Times New Roman"/>
          <w:b w:val="0"/>
          <w:color w:val="000000"/>
          <w:sz w:val="28"/>
        </w:rPr>
      </w:pPr>
    </w:p>
    <w:p w14:paraId="35000000">
      <w:pPr>
        <w:widowControl w:val="0"/>
        <w:numPr>
          <w:numId w:val="1"/>
        </w:numPr>
        <w:spacing w:after="0" w:line="240" w:lineRule="auto"/>
        <w:ind/>
        <w:jc w:val="center"/>
        <w:rPr>
          <w:rFonts w:ascii="Times New Roman" w:hAnsi="Times New Roman"/>
          <w:b w:val="0"/>
          <w:color w:val="000000"/>
          <w:sz w:val="28"/>
        </w:rPr>
      </w:pPr>
      <w:r>
        <w:rPr>
          <w:rFonts w:ascii="Times New Roman" w:hAnsi="Times New Roman"/>
          <w:b w:val="0"/>
          <w:color w:val="000000"/>
          <w:sz w:val="28"/>
        </w:rPr>
        <w:t>Общие положения</w:t>
      </w:r>
    </w:p>
    <w:p w14:paraId="36000000">
      <w:pPr>
        <w:widowControl w:val="0"/>
        <w:spacing w:after="0" w:line="240" w:lineRule="auto"/>
        <w:ind w:firstLine="540"/>
        <w:jc w:val="both"/>
        <w:rPr>
          <w:rFonts w:ascii="Times New Roman" w:hAnsi="Times New Roman"/>
          <w:color w:val="000000"/>
          <w:sz w:val="28"/>
        </w:rPr>
      </w:pPr>
    </w:p>
    <w:p w14:paraId="37000000">
      <w:pPr>
        <w:widowControl w:val="0"/>
        <w:spacing w:after="0" w:before="0" w:line="240" w:lineRule="auto"/>
        <w:ind w:firstLine="540"/>
        <w:jc w:val="both"/>
        <w:rPr>
          <w:rFonts w:ascii="Times New Roman" w:hAnsi="Times New Roman"/>
          <w:color w:val="000000"/>
          <w:sz w:val="28"/>
        </w:rPr>
      </w:pPr>
      <w:r>
        <w:rPr>
          <w:rFonts w:ascii="Times New Roman" w:hAnsi="Times New Roman"/>
          <w:color w:val="000000"/>
          <w:sz w:val="28"/>
        </w:rPr>
        <w:t>1.1. Настоящий Порядок регламентирует механизм предоставления субсидий на компенсацию перевозчикам выпадающих доходов из-за разницы между тарифом на перевозку пассажиров и багажа и экономически обоснованным тарифом (далее - Порядок).</w:t>
      </w:r>
    </w:p>
    <w:p w14:paraId="38000000">
      <w:pPr>
        <w:widowControl w:val="0"/>
        <w:spacing w:after="0" w:before="0" w:line="240" w:lineRule="auto"/>
        <w:ind w:firstLine="540"/>
        <w:jc w:val="both"/>
        <w:rPr>
          <w:rFonts w:ascii="Times New Roman" w:hAnsi="Times New Roman"/>
          <w:b w:val="0"/>
          <w:color w:val="000000"/>
          <w:sz w:val="28"/>
        </w:rPr>
      </w:pPr>
      <w:r>
        <w:rPr>
          <w:rFonts w:ascii="Times New Roman" w:hAnsi="Times New Roman"/>
          <w:color w:val="000000"/>
          <w:sz w:val="28"/>
        </w:rPr>
        <w:t>1.2. Целью п</w:t>
      </w:r>
      <w:r>
        <w:rPr>
          <w:rFonts w:ascii="Times New Roman" w:hAnsi="Times New Roman"/>
          <w:color w:val="000000"/>
          <w:sz w:val="28"/>
        </w:rPr>
        <w:t xml:space="preserve">редоставления субсидии является компенсация </w:t>
      </w:r>
      <w:r>
        <w:rPr>
          <w:b w:val="0"/>
        </w:rPr>
        <w:t>юридическим лицам (кроме некоммерческих организаций), индивидуальным предпринимателям, физическим лицам – производителям товаров, работ, услуг и субсидии юридическим лицам, индивидуальным предпринимателям,</w:t>
      </w:r>
      <w:r>
        <w:rPr>
          <w:b w:val="0"/>
        </w:rPr>
        <w:t xml:space="preserve"> </w:t>
      </w:r>
      <w:r>
        <w:rPr>
          <w:b w:val="0"/>
        </w:rPr>
        <w:t>осуществляющим регулярные перевозки пассажиров и багажа автомобильным транспортом</w:t>
      </w:r>
      <w:r>
        <w:rPr>
          <w:b w:val="0"/>
        </w:rPr>
        <w:t xml:space="preserve"> по муниципальным маршрутам города Батайска на компенсацию </w:t>
      </w:r>
      <w:r>
        <w:rPr>
          <w:b w:val="0"/>
        </w:rPr>
        <w:t>выпадающих доходов из-за разницы между тарифом на перевозку пассажиров и багажа и экономически обоснованным тарифом</w:t>
      </w:r>
      <w:r>
        <w:rPr>
          <w:rFonts w:ascii="Times New Roman" w:hAnsi="Times New Roman"/>
          <w:color w:val="000000"/>
          <w:sz w:val="28"/>
        </w:rPr>
        <w:t xml:space="preserve"> в рамках реализации муниципально</w:t>
      </w:r>
      <w:r>
        <w:rPr>
          <w:rFonts w:ascii="Times New Roman" w:hAnsi="Times New Roman"/>
          <w:color w:val="000000"/>
          <w:sz w:val="28"/>
        </w:rPr>
        <w:t xml:space="preserve">й </w:t>
      </w:r>
      <w:r>
        <w:rPr>
          <w:rFonts w:ascii="Times New Roman" w:hAnsi="Times New Roman"/>
          <w:color w:val="000000"/>
          <w:sz w:val="28"/>
        </w:rPr>
        <w:fldChar w:fldCharType="begin"/>
      </w:r>
      <w:r>
        <w:rPr>
          <w:rFonts w:ascii="Times New Roman" w:hAnsi="Times New Roman"/>
          <w:color w:val="000000"/>
          <w:sz w:val="28"/>
        </w:rPr>
        <w:instrText>HYPERLINK "https://login.consultant.ru/link/?req=doc&amp;base=RLAW186&amp;n=148183&amp;dst=100039"</w:instrText>
      </w:r>
      <w:r>
        <w:rPr>
          <w:rFonts w:ascii="Times New Roman" w:hAnsi="Times New Roman"/>
          <w:color w:val="000000"/>
          <w:sz w:val="28"/>
        </w:rPr>
        <w:fldChar w:fldCharType="separate"/>
      </w:r>
      <w:r>
        <w:rPr>
          <w:rFonts w:ascii="Times New Roman" w:hAnsi="Times New Roman"/>
          <w:color w:val="000000"/>
          <w:sz w:val="28"/>
        </w:rPr>
        <w:t>программы</w:t>
      </w:r>
      <w:r>
        <w:rPr>
          <w:rFonts w:ascii="Times New Roman" w:hAnsi="Times New Roman"/>
          <w:color w:val="000000"/>
          <w:sz w:val="28"/>
        </w:rPr>
        <w:fldChar w:fldCharType="end"/>
      </w:r>
      <w:r>
        <w:rPr>
          <w:rFonts w:ascii="Times New Roman" w:hAnsi="Times New Roman"/>
          <w:color w:val="000000"/>
          <w:sz w:val="28"/>
        </w:rPr>
        <w:t xml:space="preserve"> "Развитие транспортной системы» (с изменениями), утвержденной постановлением Администрации города Батайска от 27.11.2018 № 382 (да</w:t>
      </w:r>
      <w:r>
        <w:rPr>
          <w:rFonts w:ascii="Times New Roman" w:hAnsi="Times New Roman"/>
          <w:color w:val="000000"/>
          <w:sz w:val="28"/>
        </w:rPr>
        <w:t>лее - субсидия).</w:t>
      </w:r>
    </w:p>
    <w:p w14:paraId="39000000">
      <w:pPr>
        <w:widowControl w:val="0"/>
        <w:spacing w:after="0" w:before="0" w:line="240" w:lineRule="auto"/>
        <w:ind w:firstLine="540"/>
        <w:jc w:val="both"/>
        <w:rPr>
          <w:rFonts w:ascii="Times New Roman" w:hAnsi="Times New Roman"/>
          <w:color w:val="000000"/>
          <w:sz w:val="28"/>
        </w:rPr>
      </w:pPr>
      <w:r>
        <w:rPr>
          <w:rFonts w:ascii="Times New Roman" w:hAnsi="Times New Roman"/>
          <w:color w:val="000000"/>
          <w:sz w:val="28"/>
        </w:rPr>
        <w:t>1.3. Субсидии предоставляются Администрацией города Батайска (далее - Администрация), осуществляющим функции главного распорядителя бюджетных средств, до которого в соответствии с бюджетным законодательством Российской Федер</w:t>
      </w:r>
      <w:r>
        <w:rPr>
          <w:rFonts w:ascii="Times New Roman" w:hAnsi="Times New Roman"/>
          <w:color w:val="000000"/>
          <w:sz w:val="28"/>
        </w:rPr>
        <w:t>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w:t>
      </w:r>
    </w:p>
    <w:p w14:paraId="3A000000">
      <w:pPr>
        <w:widowControl w:val="0"/>
        <w:spacing w:after="0" w:before="0" w:line="240" w:lineRule="auto"/>
        <w:ind w:firstLine="540"/>
        <w:jc w:val="both"/>
        <w:rPr>
          <w:rFonts w:ascii="Times New Roman" w:hAnsi="Times New Roman"/>
          <w:color w:val="000000"/>
          <w:sz w:val="28"/>
        </w:rPr>
      </w:pPr>
      <w:r>
        <w:rPr>
          <w:rFonts w:ascii="Times New Roman" w:hAnsi="Times New Roman"/>
          <w:color w:val="000000"/>
          <w:sz w:val="28"/>
        </w:rPr>
        <w:t>1.4. Получателями субсидии являются юридические лица, индивидуальные предприниматели, соответствующие крите</w:t>
      </w:r>
      <w:r>
        <w:rPr>
          <w:rFonts w:ascii="Times New Roman" w:hAnsi="Times New Roman"/>
          <w:color w:val="000000"/>
          <w:sz w:val="28"/>
        </w:rPr>
        <w:t>риям и требованиям отбора, проводимого Администрацией в порядке, устан</w:t>
      </w:r>
      <w:r>
        <w:rPr>
          <w:rFonts w:ascii="Times New Roman" w:hAnsi="Times New Roman"/>
          <w:color w:val="000000"/>
          <w:sz w:val="28"/>
        </w:rPr>
        <w:t xml:space="preserve">овленном </w:t>
      </w:r>
      <w:r>
        <w:rPr>
          <w:rFonts w:ascii="Times New Roman" w:hAnsi="Times New Roman"/>
          <w:color w:val="000000"/>
          <w:sz w:val="28"/>
        </w:rPr>
        <w:t>разделами 2</w:t>
      </w:r>
      <w:r>
        <w:rPr>
          <w:rFonts w:ascii="Times New Roman" w:hAnsi="Times New Roman"/>
          <w:color w:val="000000"/>
          <w:sz w:val="28"/>
        </w:rPr>
        <w:t xml:space="preserve"> и </w:t>
      </w:r>
      <w:r>
        <w:rPr>
          <w:rFonts w:ascii="Times New Roman" w:hAnsi="Times New Roman"/>
          <w:color w:val="000000"/>
          <w:sz w:val="28"/>
        </w:rPr>
        <w:t>3</w:t>
      </w:r>
      <w:r>
        <w:rPr>
          <w:rFonts w:ascii="Times New Roman" w:hAnsi="Times New Roman"/>
          <w:color w:val="000000"/>
          <w:sz w:val="28"/>
        </w:rPr>
        <w:t xml:space="preserve"> настоящего Порядка.</w:t>
      </w:r>
    </w:p>
    <w:p w14:paraId="3B000000">
      <w:pPr>
        <w:widowControl w:val="0"/>
        <w:spacing w:after="0" w:before="0" w:line="240" w:lineRule="auto"/>
        <w:ind w:firstLine="540"/>
        <w:jc w:val="both"/>
        <w:rPr>
          <w:rFonts w:ascii="Times New Roman" w:hAnsi="Times New Roman"/>
          <w:color w:val="000000"/>
          <w:sz w:val="28"/>
        </w:rPr>
      </w:pPr>
      <w:r>
        <w:rPr>
          <w:rFonts w:ascii="Times New Roman" w:hAnsi="Times New Roman"/>
          <w:color w:val="000000"/>
          <w:sz w:val="28"/>
        </w:rPr>
        <w:t xml:space="preserve">1.5. Критериями отбора являются: </w:t>
      </w:r>
    </w:p>
    <w:p w14:paraId="3C000000">
      <w:pPr>
        <w:widowControl w:val="0"/>
        <w:spacing w:after="0" w:before="0" w:line="240" w:lineRule="auto"/>
        <w:ind w:firstLine="540"/>
        <w:jc w:val="both"/>
        <w:rPr>
          <w:rFonts w:ascii="Times New Roman" w:hAnsi="Times New Roman"/>
          <w:color w:val="000000"/>
          <w:sz w:val="28"/>
        </w:rPr>
      </w:pPr>
      <w:r>
        <w:rPr>
          <w:rFonts w:ascii="Times New Roman" w:hAnsi="Times New Roman"/>
          <w:color w:val="000000"/>
          <w:sz w:val="28"/>
        </w:rPr>
        <w:t>1.5.1. Фактическое осуществление регулярных перевозок пассажиров и багажа городским автомобильным транспортом (автобусами) по регулируемым тарифам по муниципальным маршрутам в городе Батайске на основании муниципальных контра</w:t>
      </w:r>
      <w:r>
        <w:rPr>
          <w:rFonts w:ascii="Times New Roman" w:hAnsi="Times New Roman"/>
          <w:color w:val="000000"/>
          <w:sz w:val="28"/>
        </w:rPr>
        <w:t>ктов на выполнение работ, связанных с осуществлением регулярных перевозок пассажиров и багажа автобусами по регулируемым тарифам по муниципальным маршрутам в городе Батайске, заключенных с Администрацией.</w:t>
      </w:r>
    </w:p>
    <w:p w14:paraId="3D000000">
      <w:pPr>
        <w:widowControl w:val="0"/>
        <w:spacing w:after="0" w:before="0" w:line="240" w:lineRule="auto"/>
        <w:ind w:firstLine="540"/>
        <w:jc w:val="both"/>
        <w:rPr>
          <w:rFonts w:ascii="Times New Roman" w:hAnsi="Times New Roman"/>
          <w:color w:val="000000"/>
          <w:sz w:val="28"/>
        </w:rPr>
      </w:pPr>
      <w:r>
        <w:rPr>
          <w:rFonts w:ascii="Times New Roman" w:hAnsi="Times New Roman"/>
          <w:color w:val="000000"/>
          <w:sz w:val="28"/>
        </w:rPr>
        <w:t>1.5.2. Обоснование в установле</w:t>
      </w:r>
      <w:r>
        <w:rPr>
          <w:rFonts w:ascii="Times New Roman" w:hAnsi="Times New Roman"/>
          <w:color w:val="000000"/>
          <w:sz w:val="28"/>
        </w:rPr>
        <w:t>нном порядке экономически обоснованных тарифов на регулярные перевозки 1 пассажира в общественном транспорте города Батайска.</w:t>
      </w:r>
    </w:p>
    <w:p w14:paraId="3E000000">
      <w:pPr>
        <w:widowControl w:val="0"/>
        <w:spacing w:after="0" w:before="0" w:line="240" w:lineRule="auto"/>
        <w:ind w:firstLine="540"/>
        <w:jc w:val="both"/>
        <w:rPr>
          <w:rFonts w:ascii="Times New Roman" w:hAnsi="Times New Roman"/>
          <w:color w:val="000000"/>
          <w:sz w:val="28"/>
        </w:rPr>
      </w:pPr>
      <w:r>
        <w:rPr>
          <w:rFonts w:ascii="Times New Roman" w:hAnsi="Times New Roman"/>
          <w:color w:val="000000"/>
          <w:sz w:val="28"/>
        </w:rPr>
        <w:t>1.6. Способом предоставления субсидии является возмещение затрат, связанных с разницей между тарифом на перевозку пассажиро</w:t>
      </w:r>
      <w:r>
        <w:rPr>
          <w:rFonts w:ascii="Times New Roman" w:hAnsi="Times New Roman"/>
          <w:color w:val="000000"/>
          <w:sz w:val="28"/>
        </w:rPr>
        <w:t>в и багажа и экономически обоснованным тарифом.</w:t>
      </w:r>
    </w:p>
    <w:p w14:paraId="3F000000">
      <w:pPr>
        <w:widowControl w:val="0"/>
        <w:spacing w:after="0" w:before="0" w:line="240" w:lineRule="auto"/>
        <w:ind w:firstLine="540"/>
        <w:jc w:val="both"/>
        <w:rPr>
          <w:rFonts w:ascii="Times New Roman" w:hAnsi="Times New Roman"/>
          <w:color w:val="000000"/>
          <w:sz w:val="28"/>
        </w:rPr>
      </w:pPr>
      <w:r>
        <w:rPr>
          <w:rFonts w:ascii="Times New Roman" w:hAnsi="Times New Roman"/>
          <w:color w:val="000000"/>
          <w:sz w:val="28"/>
        </w:rPr>
        <w:t>1.7. Сведения о субсидии размещаются на едином портале бюджетной системы Российской Федерации в информационно-телекоммуникационной сети "Интернет" (далее соответственно - сеть "Интернет", единый портал) (в ра</w:t>
      </w:r>
      <w:r>
        <w:rPr>
          <w:rFonts w:ascii="Times New Roman" w:hAnsi="Times New Roman"/>
          <w:color w:val="000000"/>
          <w:sz w:val="28"/>
        </w:rPr>
        <w:t>зделе единого портала) в порядке, установленном Министерством финансов Российской Федерации.</w:t>
      </w:r>
    </w:p>
    <w:p w14:paraId="40000000">
      <w:pPr>
        <w:widowControl w:val="0"/>
        <w:spacing w:after="0" w:before="0" w:line="240" w:lineRule="auto"/>
        <w:ind w:firstLine="540"/>
        <w:jc w:val="both"/>
        <w:rPr>
          <w:rFonts w:ascii="Times New Roman" w:hAnsi="Times New Roman"/>
          <w:color w:val="000000"/>
          <w:sz w:val="28"/>
        </w:rPr>
      </w:pPr>
    </w:p>
    <w:p w14:paraId="41000000">
      <w:pPr>
        <w:widowControl w:val="0"/>
        <w:spacing w:after="0" w:line="240" w:lineRule="auto"/>
        <w:ind/>
        <w:jc w:val="center"/>
        <w:outlineLvl w:val="1"/>
        <w:rPr>
          <w:rFonts w:ascii="Times New Roman" w:hAnsi="Times New Roman"/>
          <w:b w:val="0"/>
          <w:color w:val="000000"/>
          <w:sz w:val="28"/>
        </w:rPr>
      </w:pPr>
      <w:r>
        <w:rPr>
          <w:rFonts w:ascii="Times New Roman" w:hAnsi="Times New Roman"/>
          <w:b w:val="0"/>
          <w:color w:val="000000"/>
          <w:sz w:val="28"/>
        </w:rPr>
        <w:t>2. Порядок проведения отбора получателей субсидий</w:t>
      </w:r>
    </w:p>
    <w:p w14:paraId="42000000">
      <w:pPr>
        <w:widowControl w:val="0"/>
        <w:spacing w:after="0" w:line="240" w:lineRule="auto"/>
        <w:ind/>
        <w:jc w:val="center"/>
        <w:rPr>
          <w:rFonts w:ascii="Times New Roman" w:hAnsi="Times New Roman"/>
          <w:b w:val="0"/>
          <w:color w:val="000000"/>
          <w:sz w:val="28"/>
        </w:rPr>
      </w:pPr>
      <w:r>
        <w:rPr>
          <w:rFonts w:ascii="Times New Roman" w:hAnsi="Times New Roman"/>
          <w:b w:val="0"/>
          <w:color w:val="000000"/>
          <w:sz w:val="28"/>
        </w:rPr>
        <w:t>в системе "Электронный бюджет"</w:t>
      </w:r>
    </w:p>
    <w:p w14:paraId="43000000">
      <w:pPr>
        <w:widowControl w:val="0"/>
        <w:spacing w:after="0" w:before="0" w:line="240" w:lineRule="auto"/>
        <w:ind w:firstLine="540"/>
        <w:jc w:val="both"/>
        <w:rPr>
          <w:rFonts w:ascii="Times New Roman" w:hAnsi="Times New Roman"/>
          <w:b w:val="0"/>
          <w:color w:val="000000"/>
          <w:sz w:val="28"/>
        </w:rPr>
      </w:pPr>
    </w:p>
    <w:p w14:paraId="44000000">
      <w:pPr>
        <w:widowControl w:val="0"/>
        <w:spacing w:after="0" w:before="0" w:line="240" w:lineRule="auto"/>
        <w:ind w:firstLine="540"/>
        <w:jc w:val="both"/>
        <w:rPr>
          <w:rFonts w:ascii="Times New Roman" w:hAnsi="Times New Roman"/>
          <w:color w:val="000000"/>
          <w:sz w:val="28"/>
        </w:rPr>
      </w:pPr>
      <w:r>
        <w:rPr>
          <w:rFonts w:ascii="Times New Roman" w:hAnsi="Times New Roman"/>
          <w:color w:val="000000"/>
          <w:sz w:val="28"/>
        </w:rPr>
        <w:t>2.1. Способом проведения отбора получателей субсидии является запрос предложений. Организатором отбора получателе</w:t>
      </w:r>
      <w:r>
        <w:rPr>
          <w:rFonts w:ascii="Times New Roman" w:hAnsi="Times New Roman"/>
          <w:color w:val="000000"/>
          <w:sz w:val="28"/>
        </w:rPr>
        <w:t>й субсидий является Администрация. Проведение отбора обеспечивается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w:t>
      </w:r>
    </w:p>
    <w:p w14:paraId="45000000">
      <w:pPr>
        <w:widowControl w:val="0"/>
        <w:spacing w:after="0" w:before="0" w:line="240" w:lineRule="auto"/>
        <w:ind w:firstLine="540"/>
        <w:jc w:val="both"/>
        <w:rPr>
          <w:rFonts w:ascii="Times New Roman" w:hAnsi="Times New Roman"/>
          <w:color w:val="000000"/>
          <w:sz w:val="28"/>
        </w:rPr>
      </w:pPr>
      <w:r>
        <w:rPr>
          <w:rFonts w:ascii="Times New Roman" w:hAnsi="Times New Roman"/>
          <w:color w:val="000000"/>
          <w:sz w:val="28"/>
        </w:rPr>
        <w:t>Доступ к системе "Электронный бюджет"</w:t>
      </w:r>
      <w:r>
        <w:rPr>
          <w:rFonts w:ascii="Times New Roman" w:hAnsi="Times New Roman"/>
          <w:color w:val="000000"/>
          <w:sz w:val="28"/>
        </w:rPr>
        <w:t xml:space="preserve"> обеспечивается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w:t>
      </w:r>
      <w:r>
        <w:rPr>
          <w:rFonts w:ascii="Times New Roman" w:hAnsi="Times New Roman"/>
          <w:color w:val="000000"/>
          <w:sz w:val="28"/>
        </w:rPr>
        <w:t>авления государственных и муниципальных услуг в электронной форме".</w:t>
      </w:r>
    </w:p>
    <w:p w14:paraId="46000000">
      <w:pPr>
        <w:widowControl w:val="0"/>
        <w:spacing w:after="0" w:before="0" w:line="240" w:lineRule="auto"/>
        <w:ind w:firstLine="540"/>
        <w:jc w:val="both"/>
        <w:rPr>
          <w:rFonts w:ascii="Times New Roman" w:hAnsi="Times New Roman"/>
          <w:color w:val="000000"/>
          <w:sz w:val="28"/>
        </w:rPr>
      </w:pPr>
      <w:r>
        <w:rPr>
          <w:rFonts w:ascii="Times New Roman" w:hAnsi="Times New Roman"/>
          <w:color w:val="000000"/>
          <w:sz w:val="28"/>
        </w:rPr>
        <w:t>2.2. Взаимодействие Администрации с участниками отбора в рамках проведения отбора осуществляется с использованием документов в электронной форме в системе "Электронный бюджет".</w:t>
      </w:r>
    </w:p>
    <w:p w14:paraId="47000000">
      <w:pPr>
        <w:widowControl w:val="0"/>
        <w:spacing w:after="0" w:before="0" w:line="240" w:lineRule="auto"/>
        <w:ind w:firstLine="540"/>
        <w:jc w:val="both"/>
        <w:rPr>
          <w:rFonts w:ascii="Times New Roman" w:hAnsi="Times New Roman"/>
          <w:color w:val="000000"/>
          <w:sz w:val="28"/>
        </w:rPr>
      </w:pPr>
      <w:r>
        <w:rPr>
          <w:rFonts w:ascii="Times New Roman" w:hAnsi="Times New Roman"/>
          <w:color w:val="000000"/>
          <w:sz w:val="28"/>
        </w:rPr>
        <w:t>2.3. Определ</w:t>
      </w:r>
      <w:r>
        <w:rPr>
          <w:rFonts w:ascii="Times New Roman" w:hAnsi="Times New Roman"/>
          <w:color w:val="000000"/>
          <w:sz w:val="28"/>
        </w:rPr>
        <w:t>ение получателей субсидий осуществляется Администрацией по итогам проведения отбора путем запроса предложений (заявок).</w:t>
      </w:r>
    </w:p>
    <w:p w14:paraId="48000000">
      <w:pPr>
        <w:widowControl w:val="0"/>
        <w:spacing w:after="0" w:before="0" w:line="240" w:lineRule="auto"/>
        <w:ind w:firstLine="540"/>
        <w:jc w:val="both"/>
        <w:rPr>
          <w:rFonts w:ascii="Times New Roman" w:hAnsi="Times New Roman"/>
          <w:color w:val="000000"/>
          <w:sz w:val="28"/>
        </w:rPr>
      </w:pPr>
      <w:r>
        <w:rPr>
          <w:rFonts w:ascii="Times New Roman" w:hAnsi="Times New Roman"/>
          <w:color w:val="000000"/>
          <w:sz w:val="28"/>
        </w:rPr>
        <w:t xml:space="preserve">При определении получателей субсидий рассматриваются предложения (заявки) </w:t>
      </w:r>
      <w:r>
        <w:rPr>
          <w:rFonts w:ascii="Times New Roman" w:hAnsi="Times New Roman"/>
          <w:color w:val="000000"/>
          <w:sz w:val="28"/>
        </w:rPr>
        <w:t>(приложение № 1 к Порядку)</w:t>
      </w:r>
      <w:r>
        <w:rPr>
          <w:rFonts w:ascii="Times New Roman" w:hAnsi="Times New Roman"/>
          <w:color w:val="000000"/>
          <w:sz w:val="28"/>
        </w:rPr>
        <w:t>, направленные участниками отбора для участия в отборе, исходя и</w:t>
      </w:r>
      <w:r>
        <w:rPr>
          <w:rFonts w:ascii="Times New Roman" w:hAnsi="Times New Roman"/>
          <w:color w:val="000000"/>
          <w:sz w:val="28"/>
        </w:rPr>
        <w:t xml:space="preserve">з соответствия участников отбора критериям и требованиям, установленным </w:t>
      </w:r>
      <w:r>
        <w:rPr>
          <w:rFonts w:ascii="Times New Roman" w:hAnsi="Times New Roman"/>
          <w:color w:val="000000"/>
          <w:sz w:val="28"/>
        </w:rPr>
        <w:t>пунктами 1.5</w:t>
      </w:r>
      <w:r>
        <w:rPr>
          <w:rFonts w:ascii="Times New Roman" w:hAnsi="Times New Roman"/>
          <w:color w:val="000000"/>
          <w:sz w:val="28"/>
        </w:rPr>
        <w:t xml:space="preserve"> и 2</w:t>
      </w:r>
      <w:r>
        <w:rPr>
          <w:rFonts w:ascii="Times New Roman" w:hAnsi="Times New Roman"/>
          <w:color w:val="000000"/>
          <w:sz w:val="28"/>
        </w:rPr>
        <w:t>.5</w:t>
      </w:r>
      <w:r>
        <w:rPr>
          <w:rFonts w:ascii="Times New Roman" w:hAnsi="Times New Roman"/>
          <w:color w:val="000000"/>
          <w:sz w:val="28"/>
        </w:rPr>
        <w:t xml:space="preserve"> настоящего Порядка.</w:t>
      </w:r>
    </w:p>
    <w:p w14:paraId="49000000">
      <w:pPr>
        <w:widowControl w:val="0"/>
        <w:spacing w:after="0" w:before="0" w:line="240" w:lineRule="auto"/>
        <w:ind w:firstLine="540"/>
        <w:jc w:val="both"/>
        <w:rPr>
          <w:rFonts w:ascii="Times New Roman" w:hAnsi="Times New Roman"/>
          <w:color w:val="000000"/>
          <w:sz w:val="28"/>
        </w:rPr>
      </w:pPr>
      <w:r>
        <w:rPr>
          <w:rFonts w:ascii="Times New Roman" w:hAnsi="Times New Roman"/>
          <w:color w:val="000000"/>
          <w:sz w:val="28"/>
        </w:rPr>
        <w:t>2.4. В целях определения получателей субсидии Администрация не позднее чем за 5 рабочих дней до даты начала приема предложений (заявок) размещает объявление о его проведении на едином портале с указанием:</w:t>
      </w:r>
    </w:p>
    <w:p w14:paraId="4A000000">
      <w:pPr>
        <w:widowControl w:val="0"/>
        <w:spacing w:after="0" w:before="0" w:line="240" w:lineRule="auto"/>
        <w:ind w:firstLine="540"/>
        <w:jc w:val="both"/>
        <w:rPr>
          <w:rFonts w:ascii="Times New Roman" w:hAnsi="Times New Roman"/>
          <w:color w:val="000000"/>
          <w:sz w:val="28"/>
        </w:rPr>
      </w:pPr>
      <w:r>
        <w:rPr>
          <w:rFonts w:ascii="Times New Roman" w:hAnsi="Times New Roman"/>
          <w:color w:val="000000"/>
          <w:sz w:val="28"/>
        </w:rPr>
        <w:t>2.4.1. Даты размещения объявления о проведении отбора</w:t>
      </w:r>
      <w:r>
        <w:rPr>
          <w:rFonts w:ascii="Times New Roman" w:hAnsi="Times New Roman"/>
          <w:color w:val="000000"/>
          <w:sz w:val="28"/>
        </w:rPr>
        <w:t>, сроков проведения отбора, даты начала подачи и окончания приема предложений (заявок) участников отбора (при этом дата окончания приема предложений (заявок) не может быть ранее 5-го календарного дня, следующего за днем размещения объявления о проведении о</w:t>
      </w:r>
      <w:r>
        <w:rPr>
          <w:rFonts w:ascii="Times New Roman" w:hAnsi="Times New Roman"/>
          <w:color w:val="000000"/>
          <w:sz w:val="28"/>
        </w:rPr>
        <w:t>тбора).</w:t>
      </w:r>
    </w:p>
    <w:p w14:paraId="4B000000">
      <w:pPr>
        <w:widowControl w:val="0"/>
        <w:spacing w:after="0" w:before="0" w:line="240" w:lineRule="auto"/>
        <w:ind w:firstLine="540"/>
        <w:jc w:val="both"/>
        <w:rPr>
          <w:rFonts w:ascii="Times New Roman" w:hAnsi="Times New Roman"/>
          <w:color w:val="000000"/>
          <w:sz w:val="28"/>
        </w:rPr>
      </w:pPr>
      <w:r>
        <w:rPr>
          <w:rFonts w:ascii="Times New Roman" w:hAnsi="Times New Roman"/>
          <w:color w:val="000000"/>
          <w:sz w:val="28"/>
        </w:rPr>
        <w:t>2.4.2. Наименования, местонахождения, почтового адреса, адреса электронной почты Администрации.</w:t>
      </w:r>
    </w:p>
    <w:p w14:paraId="4C000000">
      <w:pPr>
        <w:widowControl w:val="0"/>
        <w:spacing w:after="0" w:before="0" w:line="240" w:lineRule="auto"/>
        <w:ind w:firstLine="540"/>
        <w:jc w:val="both"/>
        <w:rPr>
          <w:rFonts w:ascii="Times New Roman" w:hAnsi="Times New Roman"/>
          <w:color w:val="000000"/>
          <w:sz w:val="28"/>
        </w:rPr>
      </w:pPr>
      <w:r>
        <w:rPr>
          <w:rFonts w:ascii="Times New Roman" w:hAnsi="Times New Roman"/>
          <w:color w:val="000000"/>
          <w:sz w:val="28"/>
        </w:rPr>
        <w:t>2.4.3. Доменного имени, и (или) сетевого адреса, и (или) указателей страниц системы "Электронный бюджет" или сайта в сети "Интернет".</w:t>
      </w:r>
    </w:p>
    <w:p w14:paraId="4D000000">
      <w:pPr>
        <w:widowControl w:val="0"/>
        <w:spacing w:after="0" w:before="0" w:line="240" w:lineRule="auto"/>
        <w:ind w:firstLine="540"/>
        <w:jc w:val="both"/>
        <w:rPr>
          <w:rFonts w:ascii="Times New Roman" w:hAnsi="Times New Roman"/>
          <w:color w:val="000000"/>
          <w:sz w:val="28"/>
        </w:rPr>
      </w:pPr>
      <w:r>
        <w:rPr>
          <w:rFonts w:ascii="Times New Roman" w:hAnsi="Times New Roman"/>
          <w:color w:val="000000"/>
          <w:sz w:val="28"/>
        </w:rPr>
        <w:t>2.4.4. Требований к</w:t>
      </w:r>
      <w:r>
        <w:rPr>
          <w:rFonts w:ascii="Times New Roman" w:hAnsi="Times New Roman"/>
          <w:color w:val="000000"/>
          <w:sz w:val="28"/>
        </w:rPr>
        <w:t xml:space="preserve"> участникам отбора в соответствии с </w:t>
      </w:r>
      <w:r>
        <w:rPr>
          <w:rFonts w:ascii="Times New Roman" w:hAnsi="Times New Roman"/>
          <w:color w:val="000000"/>
          <w:sz w:val="28"/>
        </w:rPr>
        <w:t>пунктом 2.5</w:t>
      </w:r>
      <w:r>
        <w:rPr>
          <w:rFonts w:ascii="Times New Roman" w:hAnsi="Times New Roman"/>
          <w:color w:val="000000"/>
          <w:sz w:val="28"/>
        </w:rPr>
        <w:t xml:space="preserve"> настоящего Порядка.</w:t>
      </w:r>
    </w:p>
    <w:p w14:paraId="4E000000">
      <w:pPr>
        <w:widowControl w:val="0"/>
        <w:spacing w:after="0" w:before="0" w:line="240" w:lineRule="auto"/>
        <w:ind w:firstLine="540"/>
        <w:jc w:val="both"/>
        <w:rPr>
          <w:rFonts w:ascii="Times New Roman" w:hAnsi="Times New Roman"/>
          <w:color w:val="000000"/>
          <w:sz w:val="28"/>
        </w:rPr>
      </w:pPr>
      <w:r>
        <w:rPr>
          <w:rFonts w:ascii="Times New Roman" w:hAnsi="Times New Roman"/>
          <w:color w:val="000000"/>
          <w:sz w:val="28"/>
        </w:rPr>
        <w:t xml:space="preserve">2.4.5. Критериев отбора участников отбора в соответствии с </w:t>
      </w:r>
      <w:r>
        <w:rPr>
          <w:rFonts w:ascii="Times New Roman" w:hAnsi="Times New Roman"/>
          <w:color w:val="000000"/>
          <w:sz w:val="28"/>
        </w:rPr>
        <w:t>пунктом 1.5</w:t>
      </w:r>
      <w:r>
        <w:rPr>
          <w:rFonts w:ascii="Times New Roman" w:hAnsi="Times New Roman"/>
          <w:color w:val="000000"/>
          <w:sz w:val="28"/>
        </w:rPr>
        <w:t xml:space="preserve"> настоящего Порядка.</w:t>
      </w:r>
    </w:p>
    <w:p w14:paraId="4F000000">
      <w:pPr>
        <w:widowControl w:val="0"/>
        <w:spacing w:after="0" w:before="0" w:line="240" w:lineRule="auto"/>
        <w:ind w:firstLine="540"/>
        <w:jc w:val="both"/>
        <w:rPr>
          <w:rFonts w:ascii="Times New Roman" w:hAnsi="Times New Roman"/>
          <w:color w:val="000000"/>
          <w:sz w:val="28"/>
        </w:rPr>
      </w:pPr>
      <w:r>
        <w:rPr>
          <w:rFonts w:ascii="Times New Roman" w:hAnsi="Times New Roman"/>
          <w:color w:val="000000"/>
          <w:sz w:val="28"/>
        </w:rPr>
        <w:t>2.4.6. Перечня документов, порядка подачи предложен</w:t>
      </w:r>
      <w:r>
        <w:rPr>
          <w:rFonts w:ascii="Times New Roman" w:hAnsi="Times New Roman"/>
          <w:color w:val="000000"/>
          <w:sz w:val="28"/>
        </w:rPr>
        <w:t xml:space="preserve">ий (заявок) участниками отбора и требований, предъявляемых к форме и содержанию предложений (заявок), подаваемых участниками отбора в соответствии с </w:t>
      </w:r>
      <w:r>
        <w:rPr>
          <w:rFonts w:ascii="Times New Roman" w:hAnsi="Times New Roman"/>
          <w:color w:val="000000"/>
          <w:sz w:val="28"/>
        </w:rPr>
        <w:t>пунктом 2.6</w:t>
      </w:r>
      <w:r>
        <w:rPr>
          <w:rFonts w:ascii="Times New Roman" w:hAnsi="Times New Roman"/>
          <w:color w:val="000000"/>
          <w:sz w:val="28"/>
        </w:rPr>
        <w:t xml:space="preserve"> настоящего Порядка.</w:t>
      </w:r>
    </w:p>
    <w:p w14:paraId="50000000">
      <w:pPr>
        <w:widowControl w:val="0"/>
        <w:spacing w:after="0" w:before="0" w:line="240" w:lineRule="auto"/>
        <w:ind w:firstLine="540"/>
        <w:jc w:val="both"/>
        <w:rPr>
          <w:rFonts w:ascii="Times New Roman" w:hAnsi="Times New Roman"/>
          <w:color w:val="000000"/>
          <w:sz w:val="28"/>
        </w:rPr>
      </w:pPr>
      <w:r>
        <w:rPr>
          <w:rFonts w:ascii="Times New Roman" w:hAnsi="Times New Roman"/>
          <w:color w:val="000000"/>
          <w:sz w:val="28"/>
        </w:rPr>
        <w:t>2.4.7. Порядка отзыва предложений (заявок) участник</w:t>
      </w:r>
      <w:r>
        <w:rPr>
          <w:rFonts w:ascii="Times New Roman" w:hAnsi="Times New Roman"/>
          <w:color w:val="000000"/>
          <w:sz w:val="28"/>
        </w:rPr>
        <w:t>ов отбора, порядка их возврата, порядка отклонения предложений (заявок) участников отбора, определяющего, в том числе, основания для отклонения предложений (заявок) участников отбора, порядка внесения изменений в предложения (заявки) участников отбора, а т</w:t>
      </w:r>
      <w:r>
        <w:rPr>
          <w:rFonts w:ascii="Times New Roman" w:hAnsi="Times New Roman"/>
          <w:color w:val="000000"/>
          <w:sz w:val="28"/>
        </w:rPr>
        <w:t xml:space="preserve">акже возврата предложений (заявок) на доработку в соответствии с </w:t>
      </w:r>
      <w:r>
        <w:rPr>
          <w:rFonts w:ascii="Times New Roman" w:hAnsi="Times New Roman"/>
          <w:color w:val="000000"/>
          <w:sz w:val="28"/>
        </w:rPr>
        <w:t>пунктом 2.7</w:t>
      </w:r>
      <w:r>
        <w:rPr>
          <w:rFonts w:ascii="Times New Roman" w:hAnsi="Times New Roman"/>
          <w:color w:val="000000"/>
          <w:sz w:val="28"/>
        </w:rPr>
        <w:t xml:space="preserve"> настоящего Порядка.</w:t>
      </w:r>
    </w:p>
    <w:p w14:paraId="51000000">
      <w:pPr>
        <w:widowControl w:val="0"/>
        <w:spacing w:after="0" w:before="0" w:line="240" w:lineRule="auto"/>
        <w:ind w:firstLine="540"/>
        <w:jc w:val="both"/>
        <w:rPr>
          <w:rFonts w:ascii="Times New Roman" w:hAnsi="Times New Roman"/>
          <w:color w:val="000000"/>
          <w:sz w:val="28"/>
        </w:rPr>
      </w:pPr>
      <w:r>
        <w:rPr>
          <w:rFonts w:ascii="Times New Roman" w:hAnsi="Times New Roman"/>
          <w:color w:val="000000"/>
          <w:sz w:val="28"/>
        </w:rPr>
        <w:t xml:space="preserve">2.4.8. Правил рассмотрения предложений (заявок) участников отбора в соответствии с </w:t>
      </w:r>
      <w:r>
        <w:rPr>
          <w:rFonts w:ascii="Times New Roman" w:hAnsi="Times New Roman"/>
          <w:color w:val="000000"/>
          <w:sz w:val="28"/>
        </w:rPr>
        <w:t>пунктом 2.9</w:t>
      </w:r>
      <w:r>
        <w:rPr>
          <w:rFonts w:ascii="Times New Roman" w:hAnsi="Times New Roman"/>
          <w:color w:val="000000"/>
          <w:sz w:val="28"/>
        </w:rPr>
        <w:t xml:space="preserve"> настоящего Поряд</w:t>
      </w:r>
      <w:r>
        <w:rPr>
          <w:rFonts w:ascii="Times New Roman" w:hAnsi="Times New Roman"/>
          <w:color w:val="000000"/>
          <w:sz w:val="28"/>
        </w:rPr>
        <w:t>ка.</w:t>
      </w:r>
    </w:p>
    <w:p w14:paraId="52000000">
      <w:pPr>
        <w:widowControl w:val="0"/>
        <w:spacing w:after="0" w:before="0" w:line="240" w:lineRule="auto"/>
        <w:ind w:firstLine="540"/>
        <w:jc w:val="both"/>
        <w:rPr>
          <w:rFonts w:ascii="Times New Roman" w:hAnsi="Times New Roman"/>
          <w:color w:val="000000"/>
          <w:sz w:val="28"/>
        </w:rPr>
      </w:pPr>
      <w:r>
        <w:rPr>
          <w:rFonts w:ascii="Times New Roman" w:hAnsi="Times New Roman"/>
          <w:color w:val="000000"/>
          <w:sz w:val="28"/>
        </w:rPr>
        <w:t>2.4.9. Объема распределяемых субсидий в рамках отбора, порядка расчета размера субсидий, установленного правовым актом, правил распределения субсидий по результатам отбора, а также порядка взаимодействия с победителями отбора по результатам его проведе</w:t>
      </w:r>
      <w:r>
        <w:rPr>
          <w:rFonts w:ascii="Times New Roman" w:hAnsi="Times New Roman"/>
          <w:color w:val="000000"/>
          <w:sz w:val="28"/>
        </w:rPr>
        <w:t xml:space="preserve">ния в соответствии с </w:t>
      </w:r>
      <w:r>
        <w:rPr>
          <w:rFonts w:ascii="Times New Roman" w:hAnsi="Times New Roman"/>
          <w:color w:val="000000"/>
          <w:sz w:val="28"/>
        </w:rPr>
        <w:t>пунктом 2.11</w:t>
      </w:r>
      <w:r>
        <w:rPr>
          <w:rFonts w:ascii="Times New Roman" w:hAnsi="Times New Roman"/>
          <w:color w:val="000000"/>
          <w:sz w:val="28"/>
        </w:rPr>
        <w:t xml:space="preserve"> настоящего Порядка.</w:t>
      </w:r>
    </w:p>
    <w:p w14:paraId="53000000">
      <w:pPr>
        <w:widowControl w:val="0"/>
        <w:spacing w:after="0" w:before="0" w:line="240" w:lineRule="auto"/>
        <w:ind w:firstLine="540"/>
        <w:jc w:val="both"/>
        <w:rPr>
          <w:rFonts w:ascii="Times New Roman" w:hAnsi="Times New Roman"/>
          <w:color w:val="000000"/>
          <w:sz w:val="28"/>
        </w:rPr>
      </w:pPr>
      <w:r>
        <w:rPr>
          <w:rFonts w:ascii="Times New Roman" w:hAnsi="Times New Roman"/>
          <w:color w:val="000000"/>
          <w:sz w:val="28"/>
        </w:rPr>
        <w:t xml:space="preserve">2.4.10. Порядка предоставления участникам отбора разъяснений положений объявления о проведении отбора, даты начала и окончания срока такого предоставления в соответствии с </w:t>
      </w:r>
      <w:r>
        <w:rPr>
          <w:rFonts w:ascii="Times New Roman" w:hAnsi="Times New Roman"/>
          <w:color w:val="000000"/>
          <w:sz w:val="28"/>
        </w:rPr>
        <w:t>пунктом 2.8</w:t>
      </w:r>
      <w:r>
        <w:rPr>
          <w:rFonts w:ascii="Times New Roman" w:hAnsi="Times New Roman"/>
          <w:color w:val="000000"/>
          <w:sz w:val="28"/>
        </w:rPr>
        <w:t xml:space="preserve"> настоящего Порядка.</w:t>
      </w:r>
    </w:p>
    <w:p w14:paraId="54000000">
      <w:pPr>
        <w:widowControl w:val="0"/>
        <w:spacing w:after="0" w:before="0" w:line="240" w:lineRule="auto"/>
        <w:ind w:firstLine="540"/>
        <w:jc w:val="both"/>
        <w:rPr>
          <w:rFonts w:ascii="Times New Roman" w:hAnsi="Times New Roman"/>
          <w:color w:val="000000"/>
          <w:sz w:val="28"/>
        </w:rPr>
      </w:pPr>
      <w:r>
        <w:rPr>
          <w:rFonts w:ascii="Times New Roman" w:hAnsi="Times New Roman"/>
          <w:color w:val="000000"/>
          <w:sz w:val="28"/>
        </w:rPr>
        <w:t xml:space="preserve">2.4.11. Срока, в течение которого победители отбора должны подписать соглашения о предоставлении субсидий (далее - соглашения) в соответствии с </w:t>
      </w:r>
      <w:r>
        <w:rPr>
          <w:rFonts w:ascii="Times New Roman" w:hAnsi="Times New Roman"/>
          <w:color w:val="000000"/>
          <w:sz w:val="28"/>
        </w:rPr>
        <w:t>пунктом 2.13</w:t>
      </w:r>
      <w:r>
        <w:rPr>
          <w:rFonts w:ascii="Times New Roman" w:hAnsi="Times New Roman"/>
          <w:color w:val="000000"/>
          <w:sz w:val="28"/>
        </w:rPr>
        <w:t xml:space="preserve"> настоящего Порядка.</w:t>
      </w:r>
    </w:p>
    <w:p w14:paraId="55000000">
      <w:pPr>
        <w:widowControl w:val="0"/>
        <w:spacing w:after="0" w:before="0" w:line="240" w:lineRule="auto"/>
        <w:ind w:firstLine="540"/>
        <w:jc w:val="both"/>
        <w:rPr>
          <w:rFonts w:ascii="Times New Roman" w:hAnsi="Times New Roman"/>
          <w:color w:val="000000"/>
          <w:sz w:val="28"/>
        </w:rPr>
      </w:pPr>
      <w:r>
        <w:rPr>
          <w:rFonts w:ascii="Times New Roman" w:hAnsi="Times New Roman"/>
          <w:color w:val="000000"/>
          <w:sz w:val="28"/>
        </w:rPr>
        <w:t>2.4.1</w:t>
      </w:r>
      <w:r>
        <w:rPr>
          <w:rFonts w:ascii="Times New Roman" w:hAnsi="Times New Roman"/>
          <w:color w:val="000000"/>
          <w:sz w:val="28"/>
        </w:rPr>
        <w:t xml:space="preserve">2. Условий признания победителей отбора уклонившимися от заключения соглашений в соответствии с </w:t>
      </w:r>
      <w:r>
        <w:rPr>
          <w:rFonts w:ascii="Times New Roman" w:hAnsi="Times New Roman"/>
          <w:color w:val="000000"/>
          <w:sz w:val="28"/>
        </w:rPr>
        <w:t>пунктом 2.14</w:t>
      </w:r>
      <w:r>
        <w:rPr>
          <w:rFonts w:ascii="Times New Roman" w:hAnsi="Times New Roman"/>
          <w:color w:val="000000"/>
          <w:sz w:val="28"/>
        </w:rPr>
        <w:t xml:space="preserve"> настоящего Порядка.</w:t>
      </w:r>
    </w:p>
    <w:p w14:paraId="56000000">
      <w:pPr>
        <w:widowControl w:val="0"/>
        <w:spacing w:after="0" w:before="0" w:line="240" w:lineRule="auto"/>
        <w:ind w:firstLine="540"/>
        <w:jc w:val="both"/>
        <w:rPr>
          <w:rFonts w:ascii="Times New Roman" w:hAnsi="Times New Roman"/>
          <w:color w:val="000000"/>
          <w:sz w:val="28"/>
        </w:rPr>
      </w:pPr>
      <w:r>
        <w:rPr>
          <w:rFonts w:ascii="Times New Roman" w:hAnsi="Times New Roman"/>
          <w:color w:val="000000"/>
          <w:sz w:val="28"/>
        </w:rPr>
        <w:t xml:space="preserve">2.4.13. Сроки размещения протокола подведения итогов отбора на едином портале, в соответствии с </w:t>
      </w:r>
      <w:r>
        <w:rPr>
          <w:rFonts w:ascii="Times New Roman" w:hAnsi="Times New Roman"/>
          <w:color w:val="000000"/>
          <w:sz w:val="28"/>
        </w:rPr>
        <w:t>пунктом 2.12</w:t>
      </w:r>
      <w:r>
        <w:rPr>
          <w:rFonts w:ascii="Times New Roman" w:hAnsi="Times New Roman"/>
          <w:color w:val="000000"/>
          <w:sz w:val="28"/>
        </w:rPr>
        <w:t xml:space="preserve"> настоящего Порядка.</w:t>
      </w:r>
    </w:p>
    <w:p w14:paraId="57000000">
      <w:pPr>
        <w:widowControl w:val="0"/>
        <w:spacing w:after="0" w:before="0" w:line="240" w:lineRule="auto"/>
        <w:ind w:firstLine="540"/>
        <w:jc w:val="both"/>
        <w:rPr>
          <w:rFonts w:ascii="Times New Roman" w:hAnsi="Times New Roman"/>
          <w:color w:val="000000"/>
          <w:sz w:val="28"/>
        </w:rPr>
      </w:pPr>
      <w:r>
        <w:rPr>
          <w:rFonts w:ascii="Times New Roman" w:hAnsi="Times New Roman"/>
          <w:color w:val="000000"/>
          <w:sz w:val="28"/>
        </w:rPr>
        <w:t xml:space="preserve">2.4.14. Порядка и случаев отмены проведения отбора, случаев признания отбора несостоявшимся в соответствии с </w:t>
      </w:r>
      <w:r>
        <w:rPr>
          <w:rFonts w:ascii="Times New Roman" w:hAnsi="Times New Roman"/>
          <w:color w:val="000000"/>
          <w:sz w:val="28"/>
        </w:rPr>
        <w:t>пунктом 2.15</w:t>
      </w:r>
      <w:r>
        <w:rPr>
          <w:rFonts w:ascii="Times New Roman" w:hAnsi="Times New Roman"/>
          <w:color w:val="000000"/>
          <w:sz w:val="28"/>
        </w:rPr>
        <w:t xml:space="preserve"> настоящего Порядка.</w:t>
      </w:r>
    </w:p>
    <w:p w14:paraId="58000000">
      <w:pPr>
        <w:widowControl w:val="0"/>
        <w:spacing w:after="0" w:before="0" w:line="240" w:lineRule="auto"/>
        <w:ind w:firstLine="540"/>
        <w:jc w:val="both"/>
        <w:rPr>
          <w:rFonts w:ascii="Times New Roman" w:hAnsi="Times New Roman"/>
          <w:color w:val="000000"/>
          <w:sz w:val="28"/>
        </w:rPr>
      </w:pPr>
      <w:r>
        <w:rPr>
          <w:rFonts w:ascii="Times New Roman" w:hAnsi="Times New Roman"/>
          <w:color w:val="000000"/>
          <w:sz w:val="28"/>
        </w:rPr>
        <w:t>2.5. Требования, которым должн</w:t>
      </w:r>
      <w:r>
        <w:rPr>
          <w:rFonts w:ascii="Times New Roman" w:hAnsi="Times New Roman"/>
          <w:color w:val="000000"/>
          <w:sz w:val="28"/>
        </w:rPr>
        <w:t>ы соответствовать участники отбора на первое число месяца, предшествующего месяцу, в котором планируется проведение отбора:</w:t>
      </w:r>
    </w:p>
    <w:p w14:paraId="59000000">
      <w:pPr>
        <w:widowControl w:val="0"/>
        <w:spacing w:after="0" w:before="0" w:line="240" w:lineRule="auto"/>
        <w:ind w:firstLine="540"/>
        <w:jc w:val="both"/>
        <w:rPr>
          <w:rFonts w:ascii="Times New Roman" w:hAnsi="Times New Roman"/>
          <w:color w:val="000000"/>
          <w:sz w:val="28"/>
        </w:rPr>
      </w:pPr>
      <w:r>
        <w:rPr>
          <w:rFonts w:ascii="Times New Roman" w:hAnsi="Times New Roman"/>
          <w:color w:val="000000"/>
          <w:sz w:val="28"/>
        </w:rPr>
        <w:t>участники отбора не должны являться иностранными юридическими лицами, в том числе офшорными компаниями, а также российскими юридичес</w:t>
      </w:r>
      <w:r>
        <w:rPr>
          <w:rFonts w:ascii="Times New Roman" w:hAnsi="Times New Roman"/>
          <w:color w:val="000000"/>
          <w:sz w:val="28"/>
        </w:rPr>
        <w:t>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w:t>
      </w:r>
      <w:r>
        <w:rPr>
          <w:rFonts w:ascii="Times New Roman" w:hAnsi="Times New Roman"/>
          <w:color w:val="000000"/>
          <w:sz w:val="28"/>
        </w:rPr>
        <w:t>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w:t>
      </w:r>
      <w:r>
        <w:rPr>
          <w:rFonts w:ascii="Times New Roman" w:hAnsi="Times New Roman"/>
          <w:color w:val="000000"/>
          <w:sz w:val="28"/>
        </w:rPr>
        <w:t>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5A000000">
      <w:pPr>
        <w:widowControl w:val="0"/>
        <w:spacing w:after="0" w:before="0" w:line="240" w:lineRule="auto"/>
        <w:ind w:firstLine="540"/>
        <w:jc w:val="both"/>
        <w:rPr>
          <w:rFonts w:ascii="Times New Roman" w:hAnsi="Times New Roman"/>
          <w:color w:val="000000"/>
          <w:sz w:val="28"/>
        </w:rPr>
      </w:pPr>
      <w:r>
        <w:rPr>
          <w:rFonts w:ascii="Times New Roman" w:hAnsi="Times New Roman"/>
          <w:color w:val="000000"/>
          <w:sz w:val="28"/>
        </w:rPr>
        <w:t>участники отбора не должны находиться в переч</w:t>
      </w:r>
      <w:r>
        <w:rPr>
          <w:rFonts w:ascii="Times New Roman" w:hAnsi="Times New Roman"/>
          <w:color w:val="000000"/>
          <w:sz w:val="28"/>
        </w:rPr>
        <w:t>не организаций и физических лиц, в отношении которых имеются сведения об их причастности к экстремистской деятельности или терроризму;</w:t>
      </w:r>
    </w:p>
    <w:p w14:paraId="5B000000">
      <w:pPr>
        <w:widowControl w:val="0"/>
        <w:spacing w:after="0" w:before="0" w:line="240" w:lineRule="auto"/>
        <w:ind w:firstLine="540"/>
        <w:jc w:val="both"/>
        <w:rPr>
          <w:rFonts w:ascii="Times New Roman" w:hAnsi="Times New Roman"/>
          <w:color w:val="000000"/>
          <w:sz w:val="28"/>
        </w:rPr>
      </w:pPr>
      <w:r>
        <w:rPr>
          <w:rFonts w:ascii="Times New Roman" w:hAnsi="Times New Roman"/>
          <w:color w:val="000000"/>
          <w:sz w:val="28"/>
        </w:rPr>
        <w:t xml:space="preserve">участники отбора не должны находиться в составляемых в рамках реализации полномочий, предусмотренных </w:t>
      </w:r>
      <w:r>
        <w:rPr>
          <w:rFonts w:ascii="Times New Roman" w:hAnsi="Times New Roman"/>
          <w:color w:val="000000"/>
          <w:sz w:val="28"/>
        </w:rPr>
        <w:fldChar w:fldCharType="begin"/>
      </w:r>
      <w:r>
        <w:rPr>
          <w:rFonts w:ascii="Times New Roman" w:hAnsi="Times New Roman"/>
          <w:color w:val="000000"/>
          <w:sz w:val="28"/>
        </w:rPr>
        <w:instrText>HYPERLINK "https://login.consultant.ru/link/?req=doc&amp;base=LAW&amp;n=121087&amp;dst=100142"</w:instrText>
      </w:r>
      <w:r>
        <w:rPr>
          <w:rFonts w:ascii="Times New Roman" w:hAnsi="Times New Roman"/>
          <w:color w:val="000000"/>
          <w:sz w:val="28"/>
        </w:rPr>
        <w:fldChar w:fldCharType="separate"/>
      </w:r>
      <w:r>
        <w:rPr>
          <w:rFonts w:ascii="Times New Roman" w:hAnsi="Times New Roman"/>
          <w:color w:val="000000"/>
          <w:sz w:val="28"/>
        </w:rPr>
        <w:t>главой VII</w:t>
      </w:r>
      <w:r>
        <w:rPr>
          <w:rFonts w:ascii="Times New Roman" w:hAnsi="Times New Roman"/>
          <w:color w:val="000000"/>
          <w:sz w:val="28"/>
        </w:rPr>
        <w:fldChar w:fldCharType="end"/>
      </w:r>
      <w:r>
        <w:rPr>
          <w:rFonts w:ascii="Times New Roman" w:hAnsi="Times New Roman"/>
          <w:color w:val="000000"/>
          <w:sz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w:t>
      </w:r>
      <w:r>
        <w:rPr>
          <w:rFonts w:ascii="Times New Roman" w:hAnsi="Times New Roman"/>
          <w:color w:val="000000"/>
          <w:sz w:val="28"/>
        </w:rPr>
        <w:t>низациями и террористами или с распространением оружия массового уничтожения;</w:t>
      </w:r>
    </w:p>
    <w:p w14:paraId="5C000000">
      <w:pPr>
        <w:widowControl w:val="0"/>
        <w:spacing w:after="0" w:before="0" w:line="240" w:lineRule="auto"/>
        <w:ind w:firstLine="540"/>
        <w:jc w:val="both"/>
        <w:rPr>
          <w:rFonts w:ascii="Times New Roman" w:hAnsi="Times New Roman"/>
          <w:color w:val="000000"/>
          <w:sz w:val="28"/>
        </w:rPr>
      </w:pPr>
      <w:r>
        <w:rPr>
          <w:rFonts w:ascii="Times New Roman" w:hAnsi="Times New Roman"/>
          <w:color w:val="000000"/>
          <w:sz w:val="28"/>
        </w:rPr>
        <w:t xml:space="preserve">участники отбора не должны получать средства из бюджета города Батайска на основании иных нормативных правовых актов города Батайска на цели, указанные в </w:t>
      </w:r>
      <w:r>
        <w:rPr>
          <w:rFonts w:ascii="Times New Roman" w:hAnsi="Times New Roman"/>
          <w:color w:val="000000"/>
          <w:sz w:val="28"/>
        </w:rPr>
        <w:t>пункте 1.2 раздела 1</w:t>
      </w:r>
      <w:r>
        <w:rPr>
          <w:rFonts w:ascii="Times New Roman" w:hAnsi="Times New Roman"/>
          <w:color w:val="000000"/>
          <w:sz w:val="28"/>
        </w:rPr>
        <w:t xml:space="preserve"> настоящего Порядка;</w:t>
      </w:r>
    </w:p>
    <w:p w14:paraId="5D000000">
      <w:pPr>
        <w:widowControl w:val="0"/>
        <w:spacing w:after="0" w:before="0" w:line="240" w:lineRule="auto"/>
        <w:ind w:firstLine="540"/>
        <w:jc w:val="both"/>
        <w:rPr>
          <w:rFonts w:ascii="Times New Roman" w:hAnsi="Times New Roman"/>
          <w:color w:val="000000"/>
          <w:sz w:val="28"/>
        </w:rPr>
      </w:pPr>
      <w:r>
        <w:rPr>
          <w:rFonts w:ascii="Times New Roman" w:hAnsi="Times New Roman"/>
          <w:color w:val="000000"/>
          <w:sz w:val="28"/>
        </w:rPr>
        <w:t xml:space="preserve">участники отбора не должны являться иностранными агентами в соответствии с Федеральным </w:t>
      </w:r>
      <w:r>
        <w:rPr>
          <w:rFonts w:ascii="Times New Roman" w:hAnsi="Times New Roman"/>
          <w:color w:val="000000"/>
          <w:sz w:val="28"/>
        </w:rPr>
        <w:fldChar w:fldCharType="begin"/>
      </w:r>
      <w:r>
        <w:rPr>
          <w:rFonts w:ascii="Times New Roman" w:hAnsi="Times New Roman"/>
          <w:color w:val="000000"/>
          <w:sz w:val="28"/>
        </w:rPr>
        <w:instrText>HYPERLINK "https://login.consultant.ru/link/?req=doc&amp;base=LAW&amp;n=503623"</w:instrText>
      </w:r>
      <w:r>
        <w:rPr>
          <w:rFonts w:ascii="Times New Roman" w:hAnsi="Times New Roman"/>
          <w:color w:val="000000"/>
          <w:sz w:val="28"/>
        </w:rPr>
        <w:fldChar w:fldCharType="separate"/>
      </w:r>
      <w:r>
        <w:rPr>
          <w:rFonts w:ascii="Times New Roman" w:hAnsi="Times New Roman"/>
          <w:color w:val="000000"/>
          <w:sz w:val="28"/>
        </w:rPr>
        <w:t>законом</w:t>
      </w:r>
      <w:r>
        <w:rPr>
          <w:rFonts w:ascii="Times New Roman" w:hAnsi="Times New Roman"/>
          <w:color w:val="000000"/>
          <w:sz w:val="28"/>
        </w:rPr>
        <w:fldChar w:fldCharType="end"/>
      </w:r>
      <w:r>
        <w:rPr>
          <w:rFonts w:ascii="Times New Roman" w:hAnsi="Times New Roman"/>
          <w:color w:val="000000"/>
          <w:sz w:val="28"/>
        </w:rPr>
        <w:t xml:space="preserve"> от 14.07.2022 № 255-ФЗ "О контроле</w:t>
      </w:r>
      <w:r>
        <w:rPr>
          <w:rFonts w:ascii="Times New Roman" w:hAnsi="Times New Roman"/>
          <w:color w:val="000000"/>
          <w:sz w:val="28"/>
        </w:rPr>
        <w:t xml:space="preserve"> за деятельностью лиц, находящихся под иностранным влиянием".</w:t>
      </w:r>
    </w:p>
    <w:p w14:paraId="5E000000">
      <w:pPr>
        <w:widowControl w:val="0"/>
        <w:spacing w:after="0" w:before="0" w:line="240" w:lineRule="auto"/>
        <w:ind w:firstLine="540"/>
        <w:jc w:val="both"/>
        <w:rPr>
          <w:rFonts w:ascii="Times New Roman" w:hAnsi="Times New Roman"/>
          <w:color w:val="000000"/>
          <w:sz w:val="28"/>
        </w:rPr>
      </w:pPr>
      <w:r>
        <w:rPr>
          <w:rFonts w:ascii="Times New Roman" w:hAnsi="Times New Roman"/>
          <w:color w:val="000000"/>
          <w:sz w:val="28"/>
        </w:rPr>
        <w:t>2.6. Предложения (заявки) формируются участниками отбора в электронной форме посредством заполнения соответствующих экранных форм веб-интерфейса системы "Электронный бюджет" и предст</w:t>
      </w:r>
      <w:r>
        <w:rPr>
          <w:rFonts w:ascii="Times New Roman" w:hAnsi="Times New Roman"/>
          <w:color w:val="000000"/>
          <w:sz w:val="28"/>
        </w:rPr>
        <w:t>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представление которых предусмотрено в объявлении о проведении отбора.</w:t>
      </w:r>
    </w:p>
    <w:p w14:paraId="5F000000">
      <w:pPr>
        <w:widowControl w:val="0"/>
        <w:spacing w:after="0" w:before="0" w:line="240" w:lineRule="auto"/>
        <w:ind w:firstLine="540"/>
        <w:jc w:val="both"/>
        <w:rPr>
          <w:rFonts w:ascii="Times New Roman" w:hAnsi="Times New Roman"/>
          <w:color w:val="000000"/>
          <w:sz w:val="28"/>
        </w:rPr>
      </w:pPr>
      <w:r>
        <w:rPr>
          <w:rFonts w:ascii="Times New Roman" w:hAnsi="Times New Roman"/>
          <w:color w:val="000000"/>
          <w:sz w:val="28"/>
        </w:rPr>
        <w:t>Участники отбора должны соо</w:t>
      </w:r>
      <w:r>
        <w:rPr>
          <w:rFonts w:ascii="Times New Roman" w:hAnsi="Times New Roman"/>
          <w:color w:val="000000"/>
          <w:sz w:val="28"/>
        </w:rPr>
        <w:t xml:space="preserve">тветствовать требованиям, установленным </w:t>
      </w:r>
      <w:r>
        <w:rPr>
          <w:rFonts w:ascii="Times New Roman" w:hAnsi="Times New Roman"/>
          <w:color w:val="000000"/>
          <w:sz w:val="28"/>
        </w:rPr>
        <w:t>пунктом 2.5</w:t>
      </w:r>
      <w:r>
        <w:rPr>
          <w:rFonts w:ascii="Times New Roman" w:hAnsi="Times New Roman"/>
          <w:color w:val="000000"/>
          <w:sz w:val="28"/>
        </w:rPr>
        <w:t xml:space="preserve"> настоящего Порядка.</w:t>
      </w:r>
    </w:p>
    <w:p w14:paraId="60000000">
      <w:pPr>
        <w:widowControl w:val="0"/>
        <w:spacing w:after="0" w:before="0" w:line="240" w:lineRule="auto"/>
        <w:ind w:firstLine="540"/>
        <w:jc w:val="both"/>
        <w:rPr>
          <w:rFonts w:ascii="Times New Roman" w:hAnsi="Times New Roman"/>
          <w:color w:val="000000"/>
          <w:sz w:val="28"/>
        </w:rPr>
      </w:pPr>
      <w:r>
        <w:rPr>
          <w:rFonts w:ascii="Times New Roman" w:hAnsi="Times New Roman"/>
          <w:color w:val="000000"/>
          <w:sz w:val="28"/>
        </w:rPr>
        <w:t xml:space="preserve">Запрещается требовать от участников отбора представления документов и информации в целях подтверждения соответствия участников отбора требованиям, установленным </w:t>
      </w:r>
      <w:r>
        <w:rPr>
          <w:rFonts w:ascii="Times New Roman" w:hAnsi="Times New Roman"/>
          <w:color w:val="000000"/>
          <w:sz w:val="28"/>
        </w:rPr>
        <w:t>пунктом 2.5</w:t>
      </w:r>
      <w:r>
        <w:rPr>
          <w:rFonts w:ascii="Times New Roman" w:hAnsi="Times New Roman"/>
          <w:color w:val="000000"/>
          <w:sz w:val="28"/>
        </w:rPr>
        <w:t xml:space="preserve"> настоящего Порядка, при наличии соответствующей информации в государственных информационных системах, доступ к которым у Администрации имеется в рамках межведомственного электронного взаимодействия, за исключением случая, </w:t>
      </w:r>
      <w:r>
        <w:rPr>
          <w:rFonts w:ascii="Times New Roman" w:hAnsi="Times New Roman"/>
          <w:color w:val="000000"/>
          <w:sz w:val="28"/>
        </w:rPr>
        <w:t xml:space="preserve">если участники отбора готовы представить указанные документы и информацию в </w:t>
      </w:r>
      <w:r>
        <w:rPr>
          <w:rFonts w:ascii="Times New Roman" w:hAnsi="Times New Roman"/>
          <w:color w:val="000000"/>
          <w:sz w:val="28"/>
        </w:rPr>
        <w:t>Администрация</w:t>
      </w:r>
      <w:r>
        <w:rPr>
          <w:rFonts w:ascii="Times New Roman" w:hAnsi="Times New Roman"/>
          <w:color w:val="000000"/>
          <w:sz w:val="28"/>
        </w:rPr>
        <w:t xml:space="preserve"> по собственной инициативе.</w:t>
      </w:r>
    </w:p>
    <w:p w14:paraId="61000000">
      <w:pPr>
        <w:widowControl w:val="0"/>
        <w:spacing w:after="0" w:before="0" w:line="240" w:lineRule="auto"/>
        <w:ind w:firstLine="540"/>
        <w:jc w:val="both"/>
        <w:rPr>
          <w:rFonts w:ascii="Times New Roman" w:hAnsi="Times New Roman"/>
          <w:color w:val="000000"/>
          <w:sz w:val="28"/>
        </w:rPr>
      </w:pPr>
      <w:r>
        <w:rPr>
          <w:rFonts w:ascii="Times New Roman" w:hAnsi="Times New Roman"/>
          <w:color w:val="000000"/>
          <w:sz w:val="28"/>
        </w:rPr>
        <w:t xml:space="preserve">Проверка соответствия участников отбора требованиям, установленным </w:t>
      </w:r>
      <w:r>
        <w:rPr>
          <w:rFonts w:ascii="Times New Roman" w:hAnsi="Times New Roman"/>
          <w:color w:val="000000"/>
          <w:sz w:val="28"/>
        </w:rPr>
        <w:t>пунктом 2.5</w:t>
      </w:r>
      <w:r>
        <w:rPr>
          <w:rFonts w:ascii="Times New Roman" w:hAnsi="Times New Roman"/>
          <w:color w:val="000000"/>
          <w:sz w:val="28"/>
        </w:rPr>
        <w:t xml:space="preserve"> настоящего Порядка, осуществляется авто</w:t>
      </w:r>
      <w:r>
        <w:rPr>
          <w:rFonts w:ascii="Times New Roman" w:hAnsi="Times New Roman"/>
          <w:color w:val="000000"/>
          <w:sz w:val="28"/>
        </w:rPr>
        <w:t>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14:paraId="62000000">
      <w:pPr>
        <w:widowControl w:val="0"/>
        <w:spacing w:after="0" w:before="0" w:line="240" w:lineRule="auto"/>
        <w:ind w:firstLine="540"/>
        <w:jc w:val="both"/>
        <w:rPr>
          <w:rFonts w:ascii="Times New Roman" w:hAnsi="Times New Roman"/>
          <w:color w:val="000000"/>
          <w:sz w:val="28"/>
        </w:rPr>
      </w:pPr>
      <w:r>
        <w:rPr>
          <w:rFonts w:ascii="Times New Roman" w:hAnsi="Times New Roman"/>
          <w:color w:val="000000"/>
          <w:sz w:val="28"/>
        </w:rPr>
        <w:t>В случае отсутствия техниче</w:t>
      </w:r>
      <w:r>
        <w:rPr>
          <w:rFonts w:ascii="Times New Roman" w:hAnsi="Times New Roman"/>
          <w:color w:val="000000"/>
          <w:sz w:val="28"/>
        </w:rPr>
        <w:t xml:space="preserve">ской возможности автоматической проверки в системе "Электронный бюджет", подтверждение осуществляется путем проставления в электронном виде участниками отбора отметок о соответствии указанным в </w:t>
      </w:r>
      <w:r>
        <w:rPr>
          <w:rFonts w:ascii="Times New Roman" w:hAnsi="Times New Roman"/>
          <w:color w:val="000000"/>
          <w:sz w:val="28"/>
        </w:rPr>
        <w:t>пункте 2.5</w:t>
      </w:r>
      <w:r>
        <w:rPr>
          <w:rFonts w:ascii="Times New Roman" w:hAnsi="Times New Roman"/>
          <w:color w:val="000000"/>
          <w:sz w:val="28"/>
        </w:rPr>
        <w:t xml:space="preserve"> настоящего Порядка требовани</w:t>
      </w:r>
      <w:r>
        <w:rPr>
          <w:rFonts w:ascii="Times New Roman" w:hAnsi="Times New Roman"/>
          <w:color w:val="000000"/>
          <w:sz w:val="28"/>
        </w:rPr>
        <w:t>ям посредством заполнения соответствующих экранных форм веб-интерфейса системы "Электронный бюджет".</w:t>
      </w:r>
    </w:p>
    <w:p w14:paraId="63000000">
      <w:pPr>
        <w:widowControl w:val="0"/>
        <w:spacing w:after="0" w:before="0" w:line="240" w:lineRule="auto"/>
        <w:ind w:firstLine="540"/>
        <w:jc w:val="both"/>
        <w:rPr>
          <w:rFonts w:ascii="Times New Roman" w:hAnsi="Times New Roman"/>
          <w:color w:val="000000"/>
          <w:sz w:val="28"/>
        </w:rPr>
      </w:pPr>
      <w:r>
        <w:rPr>
          <w:rFonts w:ascii="Times New Roman" w:hAnsi="Times New Roman"/>
          <w:color w:val="000000"/>
          <w:sz w:val="28"/>
        </w:rPr>
        <w:t>Предложения (заявки) в системе "Электронный бюджет" подписываются:</w:t>
      </w:r>
    </w:p>
    <w:p w14:paraId="64000000">
      <w:pPr>
        <w:widowControl w:val="0"/>
        <w:spacing w:after="0" w:before="0" w:line="240" w:lineRule="auto"/>
        <w:ind w:firstLine="540"/>
        <w:jc w:val="both"/>
        <w:rPr>
          <w:rFonts w:ascii="Times New Roman" w:hAnsi="Times New Roman"/>
          <w:color w:val="000000"/>
          <w:sz w:val="28"/>
        </w:rPr>
      </w:pPr>
      <w:r>
        <w:rPr>
          <w:rFonts w:ascii="Times New Roman" w:hAnsi="Times New Roman"/>
          <w:color w:val="000000"/>
          <w:sz w:val="28"/>
        </w:rPr>
        <w:t>усиленной квалифицированной электронной подписью руководителей участников отбора или упо</w:t>
      </w:r>
      <w:r>
        <w:rPr>
          <w:rFonts w:ascii="Times New Roman" w:hAnsi="Times New Roman"/>
          <w:color w:val="000000"/>
          <w:sz w:val="28"/>
        </w:rPr>
        <w:t>лномоченных лиц (для юридических лиц и индивидуальных предпринимателей);</w:t>
      </w:r>
    </w:p>
    <w:p w14:paraId="65000000">
      <w:pPr>
        <w:widowControl w:val="0"/>
        <w:spacing w:after="0" w:before="0" w:line="240" w:lineRule="auto"/>
        <w:ind w:firstLine="540"/>
        <w:jc w:val="both"/>
        <w:rPr>
          <w:rFonts w:ascii="Times New Roman" w:hAnsi="Times New Roman"/>
          <w:color w:val="000000"/>
          <w:sz w:val="28"/>
        </w:rPr>
      </w:pPr>
      <w:r>
        <w:rPr>
          <w:rFonts w:ascii="Times New Roman" w:hAnsi="Times New Roman"/>
          <w:color w:val="000000"/>
          <w:sz w:val="28"/>
        </w:rPr>
        <w:t>прост</w:t>
      </w:r>
      <w:r>
        <w:rPr>
          <w:rFonts w:ascii="Times New Roman" w:hAnsi="Times New Roman"/>
          <w:color w:val="000000"/>
          <w:sz w:val="28"/>
        </w:rPr>
        <w:t>ой электронной подписью подтвержденной учетной записи физического лица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w:t>
      </w:r>
      <w:r>
        <w:rPr>
          <w:rFonts w:ascii="Times New Roman" w:hAnsi="Times New Roman"/>
          <w:color w:val="000000"/>
          <w:sz w:val="28"/>
        </w:rPr>
        <w:t>ционных систем, используемых для предоставления государственных и муниципальных услуг в электронной форме" (для физических лиц).</w:t>
      </w:r>
    </w:p>
    <w:p w14:paraId="66000000">
      <w:pPr>
        <w:widowControl w:val="0"/>
        <w:spacing w:after="0" w:before="0" w:line="240" w:lineRule="auto"/>
        <w:ind w:firstLine="540"/>
        <w:jc w:val="both"/>
        <w:rPr>
          <w:rFonts w:ascii="Times New Roman" w:hAnsi="Times New Roman"/>
          <w:color w:val="000000"/>
          <w:sz w:val="28"/>
        </w:rPr>
      </w:pPr>
      <w:r>
        <w:rPr>
          <w:rFonts w:ascii="Times New Roman" w:hAnsi="Times New Roman"/>
          <w:color w:val="000000"/>
          <w:sz w:val="28"/>
        </w:rPr>
        <w:t>Датой представления участниками отбора предложений (заявок) считается день подписания участниками отбора предложений (заявок) с</w:t>
      </w:r>
      <w:r>
        <w:rPr>
          <w:rFonts w:ascii="Times New Roman" w:hAnsi="Times New Roman"/>
          <w:color w:val="000000"/>
          <w:sz w:val="28"/>
        </w:rPr>
        <w:t xml:space="preserve"> присвоением им регистрационных номеров в системе "Электронный бюджет".</w:t>
      </w:r>
    </w:p>
    <w:p w14:paraId="67000000">
      <w:pPr>
        <w:widowControl w:val="0"/>
        <w:spacing w:after="0" w:before="0" w:line="240" w:lineRule="auto"/>
        <w:ind w:firstLine="540"/>
        <w:jc w:val="both"/>
        <w:rPr>
          <w:rFonts w:ascii="Times New Roman" w:hAnsi="Times New Roman"/>
          <w:color w:val="000000"/>
          <w:sz w:val="28"/>
        </w:rPr>
      </w:pPr>
      <w:r>
        <w:rPr>
          <w:rFonts w:ascii="Times New Roman" w:hAnsi="Times New Roman"/>
          <w:color w:val="000000"/>
          <w:sz w:val="28"/>
        </w:rPr>
        <w:t>Участники отбора вправе подать только одно предложение (заявку) на участие в отборе на получение субсидий. В составе предложений (заявок) участником отбора представляются следующие док</w:t>
      </w:r>
      <w:r>
        <w:rPr>
          <w:rFonts w:ascii="Times New Roman" w:hAnsi="Times New Roman"/>
          <w:color w:val="000000"/>
          <w:sz w:val="28"/>
        </w:rPr>
        <w:t>ументы:</w:t>
      </w:r>
    </w:p>
    <w:p w14:paraId="68000000">
      <w:pPr>
        <w:widowControl w:val="0"/>
        <w:spacing w:after="0" w:before="0" w:line="240" w:lineRule="auto"/>
        <w:ind w:firstLine="540"/>
        <w:jc w:val="both"/>
        <w:rPr>
          <w:rFonts w:ascii="Times New Roman" w:hAnsi="Times New Roman"/>
          <w:color w:val="000000"/>
          <w:sz w:val="28"/>
        </w:rPr>
      </w:pPr>
      <w:r>
        <w:rPr>
          <w:rFonts w:ascii="Times New Roman" w:hAnsi="Times New Roman"/>
          <w:color w:val="000000"/>
          <w:sz w:val="28"/>
        </w:rPr>
        <w:t>заявление о предоставлении субсидий в электронной форме посредством заполнения соответствующих экранных форм веб-интерфейса системы "Электронный бюджет";</w:t>
      </w:r>
    </w:p>
    <w:p w14:paraId="69000000">
      <w:pPr>
        <w:widowControl w:val="0"/>
        <w:spacing w:after="0" w:before="0" w:line="240" w:lineRule="auto"/>
        <w:ind w:firstLine="540"/>
        <w:jc w:val="both"/>
        <w:rPr>
          <w:rFonts w:ascii="Times New Roman" w:hAnsi="Times New Roman"/>
          <w:color w:val="000000"/>
          <w:sz w:val="28"/>
        </w:rPr>
      </w:pPr>
      <w:r>
        <w:rPr>
          <w:rFonts w:ascii="Times New Roman" w:hAnsi="Times New Roman"/>
          <w:color w:val="000000"/>
          <w:sz w:val="28"/>
        </w:rPr>
        <w:t>согласие на обработку персональных данных в электронной форме посредством заполнения соответст</w:t>
      </w:r>
      <w:r>
        <w:rPr>
          <w:rFonts w:ascii="Times New Roman" w:hAnsi="Times New Roman"/>
          <w:color w:val="000000"/>
          <w:sz w:val="28"/>
        </w:rPr>
        <w:t>вующих экранных форм веб-интерфейса системы "Электронный бюджет" или в свободной форме;</w:t>
      </w:r>
    </w:p>
    <w:p w14:paraId="6A000000">
      <w:pPr>
        <w:widowControl w:val="0"/>
        <w:spacing w:after="0" w:before="0" w:line="240" w:lineRule="auto"/>
        <w:ind w:firstLine="540"/>
        <w:jc w:val="both"/>
        <w:rPr>
          <w:rFonts w:ascii="Times New Roman" w:hAnsi="Times New Roman"/>
          <w:color w:val="000000"/>
          <w:sz w:val="28"/>
        </w:rPr>
      </w:pPr>
      <w:r>
        <w:rPr>
          <w:rFonts w:ascii="Times New Roman" w:hAnsi="Times New Roman"/>
          <w:color w:val="000000"/>
          <w:sz w:val="28"/>
        </w:rPr>
        <w:t>согласие на осуществление проверки Администрацией соблюдения порядка и условий предоставления субсидий, а также проверки органами государственного (муниципального) финан</w:t>
      </w:r>
      <w:r>
        <w:rPr>
          <w:rFonts w:ascii="Times New Roman" w:hAnsi="Times New Roman"/>
          <w:color w:val="000000"/>
          <w:sz w:val="28"/>
        </w:rPr>
        <w:t xml:space="preserve">сового контроля соблюдения порядка и условий предоставления субсидий в соответствии со </w:t>
      </w:r>
      <w:r>
        <w:rPr>
          <w:rFonts w:ascii="Times New Roman" w:hAnsi="Times New Roman"/>
          <w:color w:val="000000"/>
          <w:sz w:val="28"/>
        </w:rPr>
        <w:fldChar w:fldCharType="begin"/>
      </w:r>
      <w:r>
        <w:rPr>
          <w:rFonts w:ascii="Times New Roman" w:hAnsi="Times New Roman"/>
          <w:color w:val="000000"/>
          <w:sz w:val="28"/>
        </w:rPr>
        <w:instrText>HYPERLINK "https://login.consultant.ru/link/?req=doc&amp;base=LAW&amp;n=500021&amp;dst=3704"</w:instrText>
      </w:r>
      <w:r>
        <w:rPr>
          <w:rFonts w:ascii="Times New Roman" w:hAnsi="Times New Roman"/>
          <w:color w:val="000000"/>
          <w:sz w:val="28"/>
        </w:rPr>
        <w:fldChar w:fldCharType="separate"/>
      </w:r>
      <w:r>
        <w:rPr>
          <w:rFonts w:ascii="Times New Roman" w:hAnsi="Times New Roman"/>
          <w:color w:val="000000"/>
          <w:sz w:val="28"/>
        </w:rPr>
        <w:t>статьями 268.1</w:t>
      </w:r>
      <w:r>
        <w:rPr>
          <w:rFonts w:ascii="Times New Roman" w:hAnsi="Times New Roman"/>
          <w:color w:val="000000"/>
          <w:sz w:val="28"/>
        </w:rPr>
        <w:fldChar w:fldCharType="end"/>
      </w:r>
      <w:r>
        <w:rPr>
          <w:rFonts w:ascii="Times New Roman" w:hAnsi="Times New Roman"/>
          <w:color w:val="000000"/>
          <w:sz w:val="28"/>
        </w:rPr>
        <w:t xml:space="preserve"> и </w:t>
      </w:r>
      <w:r>
        <w:rPr>
          <w:rFonts w:ascii="Times New Roman" w:hAnsi="Times New Roman"/>
          <w:color w:val="000000"/>
          <w:sz w:val="28"/>
        </w:rPr>
        <w:fldChar w:fldCharType="begin"/>
      </w:r>
      <w:r>
        <w:rPr>
          <w:rFonts w:ascii="Times New Roman" w:hAnsi="Times New Roman"/>
          <w:color w:val="000000"/>
          <w:sz w:val="28"/>
        </w:rPr>
        <w:instrText>HYPERLINK "https://login.consultant.ru/link/?req=doc&amp;base=LAW&amp;n=500021&amp;dst=3722"</w:instrText>
      </w:r>
      <w:r>
        <w:rPr>
          <w:rFonts w:ascii="Times New Roman" w:hAnsi="Times New Roman"/>
          <w:color w:val="000000"/>
          <w:sz w:val="28"/>
        </w:rPr>
        <w:fldChar w:fldCharType="separate"/>
      </w:r>
      <w:r>
        <w:rPr>
          <w:rFonts w:ascii="Times New Roman" w:hAnsi="Times New Roman"/>
          <w:color w:val="000000"/>
          <w:sz w:val="28"/>
        </w:rPr>
        <w:t>269.2</w:t>
      </w:r>
      <w:r>
        <w:rPr>
          <w:rFonts w:ascii="Times New Roman" w:hAnsi="Times New Roman"/>
          <w:color w:val="000000"/>
          <w:sz w:val="28"/>
        </w:rPr>
        <w:fldChar w:fldCharType="end"/>
      </w:r>
      <w:r>
        <w:rPr>
          <w:rFonts w:ascii="Times New Roman" w:hAnsi="Times New Roman"/>
          <w:color w:val="000000"/>
          <w:sz w:val="28"/>
        </w:rPr>
        <w:t xml:space="preserve"> Бюджетного кодекса Российской Федерации, и на включение таких положений в соглашение о предоставлении субсидии (за исключением муниципальных унитарных предприятий);</w:t>
      </w:r>
    </w:p>
    <w:p w14:paraId="6B000000">
      <w:pPr>
        <w:widowControl w:val="0"/>
        <w:spacing w:after="0" w:before="0" w:line="240" w:lineRule="auto"/>
        <w:ind w:firstLine="540"/>
        <w:jc w:val="both"/>
        <w:rPr>
          <w:rFonts w:ascii="Times New Roman" w:hAnsi="Times New Roman"/>
          <w:color w:val="000000"/>
          <w:sz w:val="28"/>
        </w:rPr>
      </w:pPr>
      <w:r>
        <w:rPr>
          <w:rFonts w:ascii="Times New Roman" w:hAnsi="Times New Roman"/>
          <w:color w:val="000000"/>
          <w:sz w:val="28"/>
        </w:rPr>
        <w:t>расчет-обоснование суммы субсидий;</w:t>
      </w:r>
    </w:p>
    <w:p w14:paraId="6C000000">
      <w:pPr>
        <w:widowControl w:val="0"/>
        <w:spacing w:after="0" w:before="0" w:line="240" w:lineRule="auto"/>
        <w:ind w:firstLine="540"/>
        <w:jc w:val="both"/>
        <w:rPr>
          <w:rFonts w:ascii="Times New Roman" w:hAnsi="Times New Roman"/>
          <w:color w:val="000000"/>
          <w:sz w:val="28"/>
        </w:rPr>
      </w:pPr>
      <w:r>
        <w:rPr>
          <w:rFonts w:ascii="Times New Roman" w:hAnsi="Times New Roman"/>
          <w:color w:val="000000"/>
          <w:sz w:val="28"/>
        </w:rPr>
        <w:t>документ, подтверждающий полномочия пр</w:t>
      </w:r>
      <w:r>
        <w:rPr>
          <w:rFonts w:ascii="Times New Roman" w:hAnsi="Times New Roman"/>
          <w:color w:val="000000"/>
          <w:sz w:val="28"/>
        </w:rPr>
        <w:t>едставителей на осуществление действий от имени участников отбора, в случае подачи предложений (заявок) представителями участников отбора.</w:t>
      </w:r>
    </w:p>
    <w:p w14:paraId="6D000000">
      <w:pPr>
        <w:widowControl w:val="0"/>
        <w:spacing w:after="0" w:before="0" w:line="240" w:lineRule="auto"/>
        <w:ind w:firstLine="540"/>
        <w:jc w:val="both"/>
        <w:rPr>
          <w:rFonts w:ascii="Times New Roman" w:hAnsi="Times New Roman"/>
          <w:color w:val="000000"/>
          <w:sz w:val="28"/>
        </w:rPr>
      </w:pPr>
      <w:r>
        <w:rPr>
          <w:rFonts w:ascii="Times New Roman" w:hAnsi="Times New Roman"/>
          <w:color w:val="000000"/>
          <w:sz w:val="28"/>
        </w:rPr>
        <w:t>Документы в составе предложений (заявок) должны быть надлежащего качества, поддаваться прочтению, иметь даты, подписи</w:t>
      </w:r>
      <w:r>
        <w:rPr>
          <w:rFonts w:ascii="Times New Roman" w:hAnsi="Times New Roman"/>
          <w:color w:val="000000"/>
          <w:sz w:val="28"/>
        </w:rPr>
        <w:t>, печати (при наличии), а также не допускается наличие в представленных документах неоговоренных исправлений, дописок.</w:t>
      </w:r>
    </w:p>
    <w:p w14:paraId="6E000000">
      <w:pPr>
        <w:widowControl w:val="0"/>
        <w:spacing w:after="0" w:before="0" w:line="240" w:lineRule="auto"/>
        <w:ind w:firstLine="540"/>
        <w:jc w:val="both"/>
        <w:rPr>
          <w:rFonts w:ascii="Times New Roman" w:hAnsi="Times New Roman"/>
          <w:color w:val="000000"/>
          <w:sz w:val="28"/>
        </w:rPr>
      </w:pPr>
      <w:r>
        <w:rPr>
          <w:rFonts w:ascii="Times New Roman" w:hAnsi="Times New Roman"/>
          <w:color w:val="000000"/>
          <w:sz w:val="28"/>
        </w:rPr>
        <w:t>2.7. Участники отбора, подавшие предложения (заявки) на участие в отборе, вправе отозвать данные предложения (заявки) не позд</w:t>
      </w:r>
      <w:r>
        <w:rPr>
          <w:rFonts w:ascii="Times New Roman" w:hAnsi="Times New Roman"/>
          <w:color w:val="000000"/>
          <w:sz w:val="28"/>
        </w:rPr>
        <w:t>нее 1 рабочего дня до даты окончания срока подачи предложений (заявок) на участие в отборе.</w:t>
      </w:r>
    </w:p>
    <w:p w14:paraId="6F000000">
      <w:pPr>
        <w:widowControl w:val="0"/>
        <w:spacing w:after="0" w:before="0" w:line="240" w:lineRule="auto"/>
        <w:ind w:firstLine="540"/>
        <w:jc w:val="both"/>
        <w:rPr>
          <w:rFonts w:ascii="Times New Roman" w:hAnsi="Times New Roman"/>
          <w:color w:val="000000"/>
          <w:sz w:val="28"/>
        </w:rPr>
      </w:pPr>
      <w:r>
        <w:rPr>
          <w:rFonts w:ascii="Times New Roman" w:hAnsi="Times New Roman"/>
          <w:color w:val="000000"/>
          <w:sz w:val="28"/>
        </w:rPr>
        <w:t>После отзыва предложений (заявок) участники отбора до дня окончания срока приема предложений (заявок) вправе подать их повторно.</w:t>
      </w:r>
    </w:p>
    <w:p w14:paraId="70000000">
      <w:pPr>
        <w:widowControl w:val="0"/>
        <w:spacing w:after="0" w:before="0" w:line="240" w:lineRule="auto"/>
        <w:ind w:firstLine="540"/>
        <w:jc w:val="both"/>
        <w:rPr>
          <w:rFonts w:ascii="Times New Roman" w:hAnsi="Times New Roman"/>
          <w:color w:val="000000"/>
          <w:sz w:val="28"/>
        </w:rPr>
      </w:pPr>
      <w:r>
        <w:rPr>
          <w:rFonts w:ascii="Times New Roman" w:hAnsi="Times New Roman"/>
          <w:color w:val="000000"/>
          <w:sz w:val="28"/>
        </w:rPr>
        <w:t>Участники отбора вправе внести изме</w:t>
      </w:r>
      <w:r>
        <w:rPr>
          <w:rFonts w:ascii="Times New Roman" w:hAnsi="Times New Roman"/>
          <w:color w:val="000000"/>
          <w:sz w:val="28"/>
        </w:rPr>
        <w:t>нения, возвратить предложения (заявки), в том числе на доработку. Срок представления участниками отбора доработанных или измененных предложений (заявок) устанавливается не позднее дня окончания срока рассмотрения предложений (заявок).</w:t>
      </w:r>
    </w:p>
    <w:p w14:paraId="71000000">
      <w:pPr>
        <w:widowControl w:val="0"/>
        <w:spacing w:after="0" w:before="0" w:line="240" w:lineRule="auto"/>
        <w:ind w:firstLine="540"/>
        <w:jc w:val="both"/>
        <w:rPr>
          <w:rFonts w:ascii="Times New Roman" w:hAnsi="Times New Roman"/>
          <w:color w:val="000000"/>
          <w:sz w:val="28"/>
        </w:rPr>
      </w:pPr>
      <w:r>
        <w:rPr>
          <w:rFonts w:ascii="Times New Roman" w:hAnsi="Times New Roman"/>
          <w:color w:val="000000"/>
          <w:sz w:val="28"/>
        </w:rPr>
        <w:t>Отзыв предложения (за</w:t>
      </w:r>
      <w:r>
        <w:rPr>
          <w:rFonts w:ascii="Times New Roman" w:hAnsi="Times New Roman"/>
          <w:color w:val="000000"/>
          <w:sz w:val="28"/>
        </w:rPr>
        <w:t>явки), повторная подача предложения (заявки), внесение изменений в предложение (заявку), представление доработанного предложения (заявки) осуществляется участником отбора в порядке, аналогичном порядку формирования предложения (заявки) участником отбора, у</w:t>
      </w:r>
      <w:r>
        <w:rPr>
          <w:rFonts w:ascii="Times New Roman" w:hAnsi="Times New Roman"/>
          <w:color w:val="000000"/>
          <w:sz w:val="28"/>
        </w:rPr>
        <w:t xml:space="preserve">казанному в </w:t>
      </w:r>
      <w:r>
        <w:rPr>
          <w:rFonts w:ascii="Times New Roman" w:hAnsi="Times New Roman"/>
          <w:color w:val="000000"/>
          <w:sz w:val="28"/>
        </w:rPr>
        <w:t>пункте 2.6</w:t>
      </w:r>
      <w:r>
        <w:rPr>
          <w:rFonts w:ascii="Times New Roman" w:hAnsi="Times New Roman"/>
          <w:color w:val="000000"/>
          <w:sz w:val="28"/>
        </w:rPr>
        <w:t xml:space="preserve"> настоящего Порядка.</w:t>
      </w:r>
    </w:p>
    <w:p w14:paraId="72000000">
      <w:pPr>
        <w:widowControl w:val="0"/>
        <w:spacing w:after="0" w:before="0" w:line="240" w:lineRule="auto"/>
        <w:ind w:firstLine="540"/>
        <w:jc w:val="both"/>
        <w:rPr>
          <w:rFonts w:ascii="Times New Roman" w:hAnsi="Times New Roman"/>
          <w:color w:val="000000"/>
          <w:sz w:val="28"/>
        </w:rPr>
      </w:pPr>
      <w:r>
        <w:rPr>
          <w:rFonts w:ascii="Times New Roman" w:hAnsi="Times New Roman"/>
          <w:color w:val="000000"/>
          <w:sz w:val="28"/>
        </w:rPr>
        <w:t>В случае если участники отбора не представили доработанные или измененные предложения (заявки) в установленный срок, информация об этом включается в протокол рассмотрения предложений (заяво</w:t>
      </w:r>
      <w:r>
        <w:rPr>
          <w:rFonts w:ascii="Times New Roman" w:hAnsi="Times New Roman"/>
          <w:color w:val="000000"/>
          <w:sz w:val="28"/>
        </w:rPr>
        <w:t>к) участников отбора.</w:t>
      </w:r>
    </w:p>
    <w:p w14:paraId="73000000">
      <w:pPr>
        <w:widowControl w:val="0"/>
        <w:spacing w:after="0" w:before="0" w:line="240" w:lineRule="auto"/>
        <w:ind w:firstLine="540"/>
        <w:jc w:val="both"/>
        <w:rPr>
          <w:rFonts w:ascii="Times New Roman" w:hAnsi="Times New Roman"/>
          <w:color w:val="000000"/>
          <w:sz w:val="28"/>
        </w:rPr>
      </w:pPr>
      <w:r>
        <w:rPr>
          <w:rFonts w:ascii="Times New Roman" w:hAnsi="Times New Roman"/>
          <w:color w:val="000000"/>
          <w:sz w:val="28"/>
        </w:rPr>
        <w:t xml:space="preserve">В случае установления факта подачи одним из участников отбора двух и более предложений (заявок) на участие в отборе без </w:t>
      </w:r>
      <w:r>
        <w:rPr>
          <w:rFonts w:ascii="Times New Roman" w:hAnsi="Times New Roman"/>
          <w:color w:val="000000"/>
          <w:sz w:val="28"/>
        </w:rPr>
        <w:t xml:space="preserve">изменения или отзыва ранее поданных предложений (заявок) рассматривается предложение (заявка), зарегистрированное </w:t>
      </w:r>
      <w:r>
        <w:rPr>
          <w:rFonts w:ascii="Times New Roman" w:hAnsi="Times New Roman"/>
          <w:color w:val="000000"/>
          <w:sz w:val="28"/>
        </w:rPr>
        <w:t>первым.</w:t>
      </w:r>
    </w:p>
    <w:p w14:paraId="74000000">
      <w:pPr>
        <w:widowControl w:val="0"/>
        <w:spacing w:after="0" w:before="0" w:line="240" w:lineRule="auto"/>
        <w:ind w:firstLine="540"/>
        <w:jc w:val="both"/>
        <w:rPr>
          <w:rFonts w:ascii="Times New Roman" w:hAnsi="Times New Roman"/>
          <w:color w:val="000000"/>
          <w:sz w:val="28"/>
        </w:rPr>
      </w:pPr>
      <w:r>
        <w:rPr>
          <w:rFonts w:ascii="Times New Roman" w:hAnsi="Times New Roman"/>
          <w:color w:val="000000"/>
          <w:sz w:val="28"/>
        </w:rPr>
        <w:t>2.8. Участники отбора со дня размещения объявления о проведении отбора и не позднее 3 рабочих дней до дня завершения подачи предложений (заявок) вправе направить в Администрацию запросы о даче разъяснений положений объявления о проведении</w:t>
      </w:r>
      <w:r>
        <w:rPr>
          <w:rFonts w:ascii="Times New Roman" w:hAnsi="Times New Roman"/>
          <w:color w:val="000000"/>
          <w:sz w:val="28"/>
        </w:rPr>
        <w:t xml:space="preserve"> отбора путем формирования в системе "Электронный бюджет" соответствующего запроса.</w:t>
      </w:r>
    </w:p>
    <w:p w14:paraId="75000000">
      <w:pPr>
        <w:widowControl w:val="0"/>
        <w:spacing w:after="0" w:before="0" w:line="240" w:lineRule="auto"/>
        <w:ind w:firstLine="540"/>
        <w:jc w:val="both"/>
        <w:rPr>
          <w:rFonts w:ascii="Times New Roman" w:hAnsi="Times New Roman"/>
          <w:color w:val="000000"/>
          <w:sz w:val="28"/>
        </w:rPr>
      </w:pPr>
      <w:r>
        <w:rPr>
          <w:rFonts w:ascii="Times New Roman" w:hAnsi="Times New Roman"/>
          <w:color w:val="000000"/>
          <w:sz w:val="28"/>
        </w:rPr>
        <w:t>Разъяснения положений объявления о проведении отбора предоставляются Администрацией участникам отбора в срок не позднее 1-го рабочего дня до дня завершения подачи предложени</w:t>
      </w:r>
      <w:r>
        <w:rPr>
          <w:rFonts w:ascii="Times New Roman" w:hAnsi="Times New Roman"/>
          <w:color w:val="000000"/>
          <w:sz w:val="28"/>
        </w:rPr>
        <w:t>й (заявок) путем формирования в системе "Электронный бюджет" соответствующего разъяснения.</w:t>
      </w:r>
    </w:p>
    <w:p w14:paraId="76000000">
      <w:pPr>
        <w:widowControl w:val="0"/>
        <w:spacing w:after="0" w:before="0" w:line="240" w:lineRule="auto"/>
        <w:ind w:firstLine="540"/>
        <w:jc w:val="both"/>
        <w:rPr>
          <w:rFonts w:ascii="Times New Roman" w:hAnsi="Times New Roman"/>
          <w:color w:val="000000"/>
          <w:sz w:val="28"/>
        </w:rPr>
      </w:pPr>
      <w:r>
        <w:rPr>
          <w:rFonts w:ascii="Times New Roman" w:hAnsi="Times New Roman"/>
          <w:color w:val="000000"/>
          <w:sz w:val="28"/>
        </w:rPr>
        <w:t>2.9. При рассмотрении предложений (заявок), а также определении победителей отбора:</w:t>
      </w:r>
    </w:p>
    <w:p w14:paraId="77000000">
      <w:pPr>
        <w:widowControl w:val="0"/>
        <w:spacing w:after="0" w:before="0" w:line="240" w:lineRule="auto"/>
        <w:ind w:firstLine="540"/>
        <w:jc w:val="both"/>
        <w:rPr>
          <w:rFonts w:ascii="Times New Roman" w:hAnsi="Times New Roman"/>
          <w:color w:val="000000"/>
          <w:sz w:val="28"/>
        </w:rPr>
      </w:pPr>
      <w:r>
        <w:rPr>
          <w:rFonts w:ascii="Times New Roman" w:hAnsi="Times New Roman"/>
          <w:color w:val="000000"/>
          <w:sz w:val="28"/>
        </w:rPr>
        <w:t>2.9.1. Доступ к предложениям (заявкам) участников отбора открывается Администрации</w:t>
      </w:r>
      <w:r>
        <w:rPr>
          <w:rFonts w:ascii="Times New Roman" w:hAnsi="Times New Roman"/>
          <w:color w:val="000000"/>
          <w:sz w:val="28"/>
        </w:rPr>
        <w:t xml:space="preserve"> в системе "Электронный бюджет" единого портала со дня начала отбора.</w:t>
      </w:r>
    </w:p>
    <w:p w14:paraId="78000000">
      <w:pPr>
        <w:widowControl w:val="0"/>
        <w:spacing w:after="0" w:before="0" w:line="240" w:lineRule="auto"/>
        <w:ind w:firstLine="540"/>
        <w:jc w:val="both"/>
        <w:rPr>
          <w:rFonts w:ascii="Times New Roman" w:hAnsi="Times New Roman"/>
          <w:color w:val="000000"/>
          <w:sz w:val="28"/>
        </w:rPr>
      </w:pPr>
      <w:r>
        <w:rPr>
          <w:rFonts w:ascii="Times New Roman" w:hAnsi="Times New Roman"/>
          <w:color w:val="000000"/>
          <w:sz w:val="28"/>
        </w:rPr>
        <w:t xml:space="preserve">Протокол вскрытия предложений (заявок) формируется автоматически на едином портале и подписывается усиленной квалифицированной электронной подписью руководителя </w:t>
      </w:r>
      <w:r>
        <w:rPr>
          <w:rFonts w:ascii="Times New Roman" w:hAnsi="Times New Roman"/>
          <w:color w:val="000000"/>
          <w:sz w:val="28"/>
        </w:rPr>
        <w:t>(уполномоченного им лица) в системе "Электронный бюджет", а также размещается на едином портале не позднее 1-го рабочего дня, следующего за днем его подписания.</w:t>
      </w:r>
    </w:p>
    <w:p w14:paraId="79000000">
      <w:pPr>
        <w:widowControl w:val="0"/>
        <w:spacing w:after="0" w:before="0" w:line="240" w:lineRule="auto"/>
        <w:ind w:firstLine="540"/>
        <w:jc w:val="both"/>
        <w:rPr>
          <w:rFonts w:ascii="Times New Roman" w:hAnsi="Times New Roman"/>
          <w:color w:val="000000"/>
          <w:sz w:val="28"/>
        </w:rPr>
      </w:pPr>
      <w:r>
        <w:rPr>
          <w:rFonts w:ascii="Times New Roman" w:hAnsi="Times New Roman"/>
          <w:color w:val="000000"/>
          <w:sz w:val="28"/>
        </w:rPr>
        <w:t>2.9.2. Администрация в срок, не превышающий 10 рабочих дней с даты окончания срока приема предлож</w:t>
      </w:r>
      <w:r>
        <w:rPr>
          <w:rFonts w:ascii="Times New Roman" w:hAnsi="Times New Roman"/>
          <w:color w:val="000000"/>
          <w:sz w:val="28"/>
        </w:rPr>
        <w:t>ений (заявок), осуществляет рассмотрение поступивших предложений (заявок).</w:t>
      </w:r>
    </w:p>
    <w:p w14:paraId="7A000000">
      <w:pPr>
        <w:widowControl w:val="0"/>
        <w:spacing w:after="0" w:before="0" w:line="240" w:lineRule="auto"/>
        <w:ind w:firstLine="540"/>
        <w:jc w:val="both"/>
        <w:rPr>
          <w:rFonts w:ascii="Times New Roman" w:hAnsi="Times New Roman"/>
          <w:color w:val="000000"/>
          <w:sz w:val="28"/>
        </w:rPr>
      </w:pPr>
      <w:r>
        <w:rPr>
          <w:rFonts w:ascii="Times New Roman" w:hAnsi="Times New Roman"/>
          <w:color w:val="000000"/>
          <w:sz w:val="28"/>
        </w:rPr>
        <w:t>Протокол рассмотрения предложений (заявок) формируется автоматически на едином портале на основании результатов рассмотрения предложений (заявок) и подписывается усиленной квалифици</w:t>
      </w:r>
      <w:r>
        <w:rPr>
          <w:rFonts w:ascii="Times New Roman" w:hAnsi="Times New Roman"/>
          <w:color w:val="000000"/>
          <w:sz w:val="28"/>
        </w:rPr>
        <w:t>рованной электронной подписью руководителя (уполномоченного им лица) в системе "Электронный бюджет", а также размещается на едином портале не позднее 1-го рабочего дня, следующего за днем его подписания.</w:t>
      </w:r>
    </w:p>
    <w:p w14:paraId="7B000000">
      <w:pPr>
        <w:widowControl w:val="0"/>
        <w:spacing w:after="0" w:before="0" w:line="240" w:lineRule="auto"/>
        <w:ind w:firstLine="540"/>
        <w:jc w:val="both"/>
        <w:rPr>
          <w:rFonts w:ascii="Times New Roman" w:hAnsi="Times New Roman"/>
          <w:color w:val="000000"/>
          <w:sz w:val="28"/>
        </w:rPr>
      </w:pPr>
      <w:r>
        <w:rPr>
          <w:rFonts w:ascii="Times New Roman" w:hAnsi="Times New Roman"/>
          <w:color w:val="000000"/>
          <w:sz w:val="28"/>
        </w:rPr>
        <w:t>Порядок ранжирования поступивших заявок</w:t>
      </w:r>
      <w:r>
        <w:rPr>
          <w:rFonts w:ascii="Times New Roman" w:hAnsi="Times New Roman"/>
          <w:color w:val="000000"/>
          <w:sz w:val="28"/>
        </w:rPr>
        <w:t xml:space="preserve"> определяется исходя из очередности поступления заявок.</w:t>
      </w:r>
    </w:p>
    <w:p w14:paraId="7C000000">
      <w:pPr>
        <w:widowControl w:val="0"/>
        <w:spacing w:after="0" w:before="0" w:line="240" w:lineRule="auto"/>
        <w:ind w:firstLine="540"/>
        <w:jc w:val="both"/>
        <w:rPr>
          <w:rFonts w:ascii="Times New Roman" w:hAnsi="Times New Roman"/>
          <w:color w:val="000000"/>
          <w:sz w:val="28"/>
        </w:rPr>
      </w:pPr>
      <w:r>
        <w:rPr>
          <w:rFonts w:ascii="Times New Roman" w:hAnsi="Times New Roman"/>
          <w:color w:val="000000"/>
          <w:sz w:val="28"/>
        </w:rPr>
        <w:t>2.9.3. Победители отбора определяются путем проверки документов, представленных в составе предложений (заявок), на соответствие критериям и требованиям настоящего Порядка. Победителями признаются учас</w:t>
      </w:r>
      <w:r>
        <w:rPr>
          <w:rFonts w:ascii="Times New Roman" w:hAnsi="Times New Roman"/>
          <w:color w:val="000000"/>
          <w:sz w:val="28"/>
        </w:rPr>
        <w:t>тники отбора, по предложениям (заявкам) которых не выявлено оснований для отклонений.</w:t>
      </w:r>
    </w:p>
    <w:p w14:paraId="7D000000">
      <w:pPr>
        <w:widowControl w:val="0"/>
        <w:spacing w:after="0" w:before="0" w:line="240" w:lineRule="auto"/>
        <w:ind w:firstLine="540"/>
        <w:jc w:val="both"/>
        <w:rPr>
          <w:rFonts w:ascii="Times New Roman" w:hAnsi="Times New Roman"/>
          <w:color w:val="000000"/>
          <w:sz w:val="28"/>
        </w:rPr>
      </w:pPr>
      <w:r>
        <w:rPr>
          <w:rFonts w:ascii="Times New Roman" w:hAnsi="Times New Roman"/>
          <w:color w:val="000000"/>
          <w:sz w:val="28"/>
        </w:rPr>
        <w:t>2.10. Основаниями для отклонения предложений (заявок) участников отбора на стадии рассмотрения предложений (заявок) являются:</w:t>
      </w:r>
    </w:p>
    <w:p w14:paraId="7E000000">
      <w:pPr>
        <w:widowControl w:val="0"/>
        <w:spacing w:after="0" w:before="0" w:line="240" w:lineRule="auto"/>
        <w:ind w:firstLine="540"/>
        <w:jc w:val="both"/>
        <w:rPr>
          <w:rFonts w:ascii="Times New Roman" w:hAnsi="Times New Roman"/>
          <w:color w:val="000000"/>
          <w:sz w:val="28"/>
        </w:rPr>
      </w:pPr>
      <w:r>
        <w:rPr>
          <w:rFonts w:ascii="Times New Roman" w:hAnsi="Times New Roman"/>
          <w:color w:val="000000"/>
          <w:sz w:val="28"/>
        </w:rPr>
        <w:t>несоответствие участников отбора требованиям</w:t>
      </w:r>
      <w:r>
        <w:rPr>
          <w:rFonts w:ascii="Times New Roman" w:hAnsi="Times New Roman"/>
          <w:color w:val="000000"/>
          <w:sz w:val="28"/>
        </w:rPr>
        <w:t xml:space="preserve">, установленным в </w:t>
      </w:r>
      <w:r>
        <w:rPr>
          <w:rFonts w:ascii="Times New Roman" w:hAnsi="Times New Roman"/>
          <w:color w:val="000000"/>
          <w:sz w:val="28"/>
        </w:rPr>
        <w:t>пункте 2.5</w:t>
      </w:r>
      <w:r>
        <w:rPr>
          <w:rFonts w:ascii="Times New Roman" w:hAnsi="Times New Roman"/>
          <w:color w:val="000000"/>
          <w:sz w:val="28"/>
        </w:rPr>
        <w:t xml:space="preserve"> настоящего Порядка;</w:t>
      </w:r>
    </w:p>
    <w:p w14:paraId="7F000000">
      <w:pPr>
        <w:widowControl w:val="0"/>
        <w:spacing w:after="0" w:before="0" w:line="240" w:lineRule="auto"/>
        <w:ind w:firstLine="540"/>
        <w:jc w:val="both"/>
        <w:rPr>
          <w:rFonts w:ascii="Times New Roman" w:hAnsi="Times New Roman"/>
          <w:color w:val="000000"/>
          <w:sz w:val="28"/>
        </w:rPr>
      </w:pPr>
      <w:r>
        <w:rPr>
          <w:rFonts w:ascii="Times New Roman" w:hAnsi="Times New Roman"/>
          <w:color w:val="000000"/>
          <w:sz w:val="28"/>
        </w:rPr>
        <w:t xml:space="preserve">непредставление (представление не в полном объеме) документов, указанных в объявлении о проведении отбора, предусмотренных в </w:t>
      </w:r>
      <w:r>
        <w:rPr>
          <w:rFonts w:ascii="Times New Roman" w:hAnsi="Times New Roman"/>
          <w:color w:val="000000"/>
          <w:sz w:val="28"/>
        </w:rPr>
        <w:t>пункте 2.4</w:t>
      </w:r>
      <w:r>
        <w:rPr>
          <w:rFonts w:ascii="Times New Roman" w:hAnsi="Times New Roman"/>
          <w:color w:val="000000"/>
          <w:sz w:val="28"/>
        </w:rPr>
        <w:t xml:space="preserve"> настоящего Порядка;</w:t>
      </w:r>
    </w:p>
    <w:p w14:paraId="80000000">
      <w:pPr>
        <w:widowControl w:val="0"/>
        <w:spacing w:after="0" w:before="0" w:line="240" w:lineRule="auto"/>
        <w:ind w:firstLine="540"/>
        <w:jc w:val="both"/>
        <w:rPr>
          <w:rFonts w:ascii="Times New Roman" w:hAnsi="Times New Roman"/>
          <w:color w:val="000000"/>
          <w:sz w:val="28"/>
        </w:rPr>
      </w:pPr>
      <w:r>
        <w:rPr>
          <w:rFonts w:ascii="Times New Roman" w:hAnsi="Times New Roman"/>
          <w:color w:val="000000"/>
          <w:sz w:val="28"/>
        </w:rPr>
        <w:t>несоо</w:t>
      </w:r>
      <w:r>
        <w:rPr>
          <w:rFonts w:ascii="Times New Roman" w:hAnsi="Times New Roman"/>
          <w:color w:val="000000"/>
          <w:sz w:val="28"/>
        </w:rPr>
        <w:t xml:space="preserve">тветствие представленных участниками отбора предложений (заявок) и документов требованиям, установленным в </w:t>
      </w:r>
      <w:r>
        <w:rPr>
          <w:rFonts w:ascii="Times New Roman" w:hAnsi="Times New Roman"/>
          <w:color w:val="000000"/>
          <w:sz w:val="28"/>
        </w:rPr>
        <w:t>пункте</w:t>
      </w:r>
      <w:r>
        <w:rPr>
          <w:rFonts w:ascii="Times New Roman" w:hAnsi="Times New Roman"/>
          <w:color w:val="000000"/>
          <w:sz w:val="28"/>
        </w:rPr>
        <w:t xml:space="preserve"> 2</w:t>
      </w:r>
      <w:r>
        <w:rPr>
          <w:rFonts w:ascii="Times New Roman" w:hAnsi="Times New Roman"/>
          <w:color w:val="000000"/>
          <w:sz w:val="28"/>
        </w:rPr>
        <w:t>.6</w:t>
      </w:r>
      <w:r>
        <w:rPr>
          <w:rFonts w:ascii="Times New Roman" w:hAnsi="Times New Roman"/>
          <w:color w:val="000000"/>
          <w:sz w:val="28"/>
        </w:rPr>
        <w:t xml:space="preserve"> настоящего Положения;</w:t>
      </w:r>
    </w:p>
    <w:p w14:paraId="81000000">
      <w:pPr>
        <w:widowControl w:val="0"/>
        <w:spacing w:after="0" w:before="0" w:line="240" w:lineRule="auto"/>
        <w:ind w:firstLine="540"/>
        <w:jc w:val="both"/>
        <w:rPr>
          <w:rFonts w:ascii="Times New Roman" w:hAnsi="Times New Roman"/>
          <w:color w:val="000000"/>
          <w:sz w:val="28"/>
        </w:rPr>
      </w:pPr>
      <w:r>
        <w:rPr>
          <w:rFonts w:ascii="Times New Roman" w:hAnsi="Times New Roman"/>
          <w:color w:val="000000"/>
          <w:sz w:val="28"/>
        </w:rPr>
        <w:t>недостоверность информации, содержащейся в представленных участниками отбора предложениях (заявках);</w:t>
      </w:r>
    </w:p>
    <w:p w14:paraId="82000000">
      <w:pPr>
        <w:widowControl w:val="0"/>
        <w:spacing w:after="0" w:before="0" w:line="240" w:lineRule="auto"/>
        <w:ind w:firstLine="540"/>
        <w:jc w:val="both"/>
        <w:rPr>
          <w:rFonts w:ascii="Times New Roman" w:hAnsi="Times New Roman"/>
          <w:color w:val="000000"/>
          <w:sz w:val="28"/>
        </w:rPr>
      </w:pPr>
      <w:r>
        <w:rPr>
          <w:rFonts w:ascii="Times New Roman" w:hAnsi="Times New Roman"/>
          <w:color w:val="000000"/>
          <w:sz w:val="28"/>
        </w:rPr>
        <w:t>подача участниками отбора предложений (заявок) после даты и (или) времени, определенных в объявлении о проведении отбора, размещенном в системе "Электронны</w:t>
      </w:r>
      <w:r>
        <w:rPr>
          <w:rFonts w:ascii="Times New Roman" w:hAnsi="Times New Roman"/>
          <w:color w:val="000000"/>
          <w:sz w:val="28"/>
        </w:rPr>
        <w:t>й бюджет".</w:t>
      </w:r>
    </w:p>
    <w:p w14:paraId="83000000">
      <w:pPr>
        <w:widowControl w:val="0"/>
        <w:spacing w:after="0" w:before="0" w:line="240" w:lineRule="auto"/>
        <w:ind w:firstLine="540"/>
        <w:jc w:val="both"/>
        <w:rPr>
          <w:rFonts w:ascii="Times New Roman" w:hAnsi="Times New Roman"/>
          <w:color w:val="000000"/>
          <w:sz w:val="28"/>
        </w:rPr>
      </w:pPr>
      <w:r>
        <w:rPr>
          <w:rFonts w:ascii="Times New Roman" w:hAnsi="Times New Roman"/>
          <w:color w:val="000000"/>
          <w:sz w:val="28"/>
        </w:rPr>
        <w:t>2.11. Распределение субсидий между победителями отбора осуществляется на основании расчетов-обоснований сумм субсидий, предоставленных в составе предложений (заявок), в пределах лимитов бюджетных ассигнований, предусмотренных на теку</w:t>
      </w:r>
      <w:r>
        <w:rPr>
          <w:rFonts w:ascii="Times New Roman" w:hAnsi="Times New Roman"/>
          <w:color w:val="000000"/>
          <w:sz w:val="28"/>
        </w:rPr>
        <w:t>щий финансовый год.</w:t>
      </w:r>
    </w:p>
    <w:p w14:paraId="84000000">
      <w:pPr>
        <w:widowControl w:val="0"/>
        <w:spacing w:after="0" w:before="0" w:line="240" w:lineRule="auto"/>
        <w:ind w:firstLine="540"/>
        <w:jc w:val="both"/>
        <w:rPr>
          <w:rFonts w:ascii="Times New Roman" w:hAnsi="Times New Roman"/>
          <w:color w:val="000000"/>
          <w:sz w:val="28"/>
        </w:rPr>
      </w:pPr>
      <w:r>
        <w:rPr>
          <w:rFonts w:ascii="Times New Roman" w:hAnsi="Times New Roman"/>
          <w:color w:val="000000"/>
          <w:sz w:val="28"/>
        </w:rPr>
        <w:t>2.12. Протокол подведения итогов отбора формируется автоматически на едином портале на основании результатов определения победителя (победителей) отбора и подписывается усиленной квалифицированной электронной подписью руково</w:t>
      </w:r>
      <w:r>
        <w:rPr>
          <w:rFonts w:ascii="Times New Roman" w:hAnsi="Times New Roman"/>
          <w:color w:val="000000"/>
          <w:sz w:val="28"/>
        </w:rPr>
        <w:t>дителя (уполномоченного им лица) в системе "Электронный бюджет", а также размещается на едином портале не позднее 1-го рабочего дня, следующего за днем его подписания.</w:t>
      </w:r>
    </w:p>
    <w:p w14:paraId="85000000">
      <w:pPr>
        <w:widowControl w:val="0"/>
        <w:spacing w:after="0" w:before="0" w:line="240" w:lineRule="auto"/>
        <w:ind w:firstLine="540"/>
        <w:jc w:val="both"/>
        <w:rPr>
          <w:rFonts w:ascii="Times New Roman" w:hAnsi="Times New Roman"/>
          <w:color w:val="000000"/>
          <w:sz w:val="28"/>
        </w:rPr>
      </w:pPr>
      <w:r>
        <w:rPr>
          <w:rFonts w:ascii="Times New Roman" w:hAnsi="Times New Roman"/>
          <w:color w:val="000000"/>
          <w:sz w:val="28"/>
        </w:rPr>
        <w:t>Протокол подведения итогов включает следующие сведения:</w:t>
      </w:r>
    </w:p>
    <w:p w14:paraId="86000000">
      <w:pPr>
        <w:widowControl w:val="0"/>
        <w:spacing w:after="0" w:before="0" w:line="240" w:lineRule="auto"/>
        <w:ind w:firstLine="540"/>
        <w:jc w:val="both"/>
        <w:rPr>
          <w:rFonts w:ascii="Times New Roman" w:hAnsi="Times New Roman"/>
          <w:color w:val="000000"/>
          <w:sz w:val="28"/>
        </w:rPr>
      </w:pPr>
      <w:r>
        <w:rPr>
          <w:rFonts w:ascii="Times New Roman" w:hAnsi="Times New Roman"/>
          <w:color w:val="000000"/>
          <w:sz w:val="28"/>
        </w:rPr>
        <w:t>дату, время и место</w:t>
      </w:r>
      <w:r>
        <w:rPr>
          <w:rFonts w:ascii="Times New Roman" w:hAnsi="Times New Roman"/>
          <w:color w:val="000000"/>
          <w:sz w:val="28"/>
        </w:rPr>
        <w:t xml:space="preserve"> проведения рассмотрения предложений (заявок);</w:t>
      </w:r>
    </w:p>
    <w:p w14:paraId="87000000">
      <w:pPr>
        <w:widowControl w:val="0"/>
        <w:spacing w:after="0" w:before="0" w:line="240" w:lineRule="auto"/>
        <w:ind w:firstLine="540"/>
        <w:jc w:val="both"/>
        <w:rPr>
          <w:rFonts w:ascii="Times New Roman" w:hAnsi="Times New Roman"/>
          <w:color w:val="000000"/>
          <w:sz w:val="28"/>
        </w:rPr>
      </w:pPr>
      <w:r>
        <w:rPr>
          <w:rFonts w:ascii="Times New Roman" w:hAnsi="Times New Roman"/>
          <w:color w:val="000000"/>
          <w:sz w:val="28"/>
        </w:rPr>
        <w:t>информацию об участниках отбора, предложения (заявки) которых были рассмотрены;</w:t>
      </w:r>
    </w:p>
    <w:p w14:paraId="88000000">
      <w:pPr>
        <w:widowControl w:val="0"/>
        <w:spacing w:after="0" w:before="0" w:line="240" w:lineRule="auto"/>
        <w:ind w:firstLine="540"/>
        <w:jc w:val="both"/>
        <w:rPr>
          <w:rFonts w:ascii="Times New Roman" w:hAnsi="Times New Roman"/>
          <w:color w:val="000000"/>
          <w:sz w:val="28"/>
        </w:rPr>
      </w:pPr>
      <w:r>
        <w:rPr>
          <w:rFonts w:ascii="Times New Roman" w:hAnsi="Times New Roman"/>
          <w:color w:val="000000"/>
          <w:sz w:val="28"/>
        </w:rPr>
        <w:t>информацию об участниках отбора, предложения (заявки) которых были отклонены, с указанием причин их отклонения, в том числе полож</w:t>
      </w:r>
      <w:r>
        <w:rPr>
          <w:rFonts w:ascii="Times New Roman" w:hAnsi="Times New Roman"/>
          <w:color w:val="000000"/>
          <w:sz w:val="28"/>
        </w:rPr>
        <w:t>ений объявления о проведении отбора, которым не соответствуют такие предложения (заявки);</w:t>
      </w:r>
    </w:p>
    <w:p w14:paraId="89000000">
      <w:pPr>
        <w:widowControl w:val="0"/>
        <w:spacing w:after="0" w:before="0" w:line="240" w:lineRule="auto"/>
        <w:ind w:firstLine="540"/>
        <w:jc w:val="both"/>
        <w:rPr>
          <w:rFonts w:ascii="Times New Roman" w:hAnsi="Times New Roman"/>
          <w:color w:val="000000"/>
          <w:sz w:val="28"/>
        </w:rPr>
      </w:pPr>
      <w:r>
        <w:rPr>
          <w:rFonts w:ascii="Times New Roman" w:hAnsi="Times New Roman"/>
          <w:color w:val="000000"/>
          <w:sz w:val="28"/>
        </w:rPr>
        <w:t>наименования получателей субсидий, с которыми заключаются соглашения, и размер предоставляемых им субсидий.</w:t>
      </w:r>
    </w:p>
    <w:p w14:paraId="8A000000">
      <w:pPr>
        <w:widowControl w:val="0"/>
        <w:spacing w:after="0" w:before="0" w:line="240" w:lineRule="auto"/>
        <w:ind w:firstLine="540"/>
        <w:jc w:val="both"/>
        <w:rPr>
          <w:rFonts w:ascii="Times New Roman" w:hAnsi="Times New Roman"/>
          <w:color w:val="000000"/>
          <w:sz w:val="28"/>
        </w:rPr>
      </w:pPr>
      <w:r>
        <w:rPr>
          <w:rFonts w:ascii="Times New Roman" w:hAnsi="Times New Roman"/>
          <w:color w:val="000000"/>
          <w:sz w:val="28"/>
        </w:rPr>
        <w:t>Администрация в течение 10 рабочих дней с даты подписания пр</w:t>
      </w:r>
      <w:r>
        <w:rPr>
          <w:rFonts w:ascii="Times New Roman" w:hAnsi="Times New Roman"/>
          <w:color w:val="000000"/>
          <w:sz w:val="28"/>
        </w:rPr>
        <w:t>отокола подведения итогов отбора формирует проект соглашения по типовой форме, установленной приказом Финансового управления города Батайска.</w:t>
      </w:r>
    </w:p>
    <w:p w14:paraId="8B000000">
      <w:pPr>
        <w:widowControl w:val="0"/>
        <w:spacing w:after="0" w:before="0" w:line="240" w:lineRule="auto"/>
        <w:ind w:firstLine="540"/>
        <w:jc w:val="both"/>
        <w:rPr>
          <w:rFonts w:ascii="Times New Roman" w:hAnsi="Times New Roman"/>
          <w:color w:val="000000"/>
          <w:sz w:val="28"/>
        </w:rPr>
      </w:pPr>
      <w:r>
        <w:rPr>
          <w:rFonts w:ascii="Times New Roman" w:hAnsi="Times New Roman"/>
          <w:color w:val="000000"/>
          <w:sz w:val="28"/>
        </w:rPr>
        <w:t xml:space="preserve">Внесение изменений в протокол рассмотрения предложений (заявок) и протокол подведения итогов отбора осуществляется не </w:t>
      </w:r>
      <w:r>
        <w:rPr>
          <w:rFonts w:ascii="Times New Roman" w:hAnsi="Times New Roman"/>
          <w:color w:val="000000"/>
          <w:sz w:val="28"/>
        </w:rPr>
        <w:t>позднее 10 календарных дней со дня подписания первых версий протокола рассмотрения предложений (заявок) и протокола подведения итогов отбора путем формирования новых версий указанных протоколов с указанием причин внесения изменений.</w:t>
      </w:r>
    </w:p>
    <w:p w14:paraId="8C000000">
      <w:pPr>
        <w:widowControl w:val="0"/>
        <w:spacing w:after="0" w:before="0" w:line="240" w:lineRule="auto"/>
        <w:ind w:firstLine="540"/>
        <w:jc w:val="both"/>
        <w:rPr>
          <w:rFonts w:ascii="Times New Roman" w:hAnsi="Times New Roman"/>
          <w:color w:val="000000"/>
          <w:sz w:val="28"/>
        </w:rPr>
      </w:pPr>
      <w:r>
        <w:rPr>
          <w:rFonts w:ascii="Times New Roman" w:hAnsi="Times New Roman"/>
          <w:color w:val="000000"/>
          <w:sz w:val="28"/>
        </w:rPr>
        <w:t>2.13. Администрация заключает с победителями отбора соглашения в соответствии с типовой формой, устано</w:t>
      </w:r>
      <w:r>
        <w:rPr>
          <w:rFonts w:ascii="Times New Roman" w:hAnsi="Times New Roman"/>
          <w:color w:val="000000"/>
          <w:sz w:val="28"/>
        </w:rPr>
        <w:t>вленной Финансовым управлением города Батайска, в течение 5 рабочих дней со дня направления победителем отбора проекта соглашения в Администрацию.</w:t>
      </w:r>
    </w:p>
    <w:p w14:paraId="8D000000">
      <w:pPr>
        <w:widowControl w:val="0"/>
        <w:spacing w:after="0" w:before="0" w:line="240" w:lineRule="auto"/>
        <w:ind w:firstLine="540"/>
        <w:jc w:val="both"/>
        <w:rPr>
          <w:rFonts w:ascii="Times New Roman" w:hAnsi="Times New Roman"/>
          <w:color w:val="000000"/>
          <w:sz w:val="28"/>
        </w:rPr>
      </w:pPr>
      <w:r>
        <w:rPr>
          <w:rFonts w:ascii="Times New Roman" w:hAnsi="Times New Roman"/>
          <w:color w:val="000000"/>
          <w:sz w:val="28"/>
        </w:rPr>
        <w:t>2.14. Победители отбора, не подписавшие соглашение по истечении 10 рабочих дней со дня, следующего за получением соглашения, признаются уклонившимися от заключения соглашения.</w:t>
      </w:r>
    </w:p>
    <w:p w14:paraId="8E000000">
      <w:pPr>
        <w:widowControl w:val="0"/>
        <w:spacing w:after="0" w:before="0" w:line="240" w:lineRule="auto"/>
        <w:ind w:firstLine="540"/>
        <w:jc w:val="both"/>
        <w:rPr>
          <w:rFonts w:ascii="Times New Roman" w:hAnsi="Times New Roman"/>
          <w:color w:val="000000"/>
          <w:sz w:val="28"/>
        </w:rPr>
      </w:pPr>
      <w:r>
        <w:rPr>
          <w:rFonts w:ascii="Times New Roman" w:hAnsi="Times New Roman"/>
          <w:color w:val="000000"/>
          <w:sz w:val="28"/>
        </w:rPr>
        <w:t>2.15.</w:t>
      </w:r>
      <w:r>
        <w:rPr>
          <w:rFonts w:ascii="Times New Roman" w:hAnsi="Times New Roman"/>
          <w:color w:val="000000"/>
          <w:sz w:val="28"/>
        </w:rPr>
        <w:t xml:space="preserve"> Отбор признается несостоявшимся в следующих случаях:</w:t>
      </w:r>
    </w:p>
    <w:p w14:paraId="8F000000">
      <w:pPr>
        <w:widowControl w:val="0"/>
        <w:spacing w:after="0" w:before="0" w:line="240" w:lineRule="auto"/>
        <w:ind w:firstLine="540"/>
        <w:jc w:val="both"/>
        <w:rPr>
          <w:rFonts w:ascii="Times New Roman" w:hAnsi="Times New Roman"/>
          <w:color w:val="000000"/>
          <w:sz w:val="28"/>
        </w:rPr>
      </w:pPr>
      <w:r>
        <w:rPr>
          <w:rFonts w:ascii="Times New Roman" w:hAnsi="Times New Roman"/>
          <w:color w:val="000000"/>
          <w:sz w:val="28"/>
        </w:rPr>
        <w:t>по окончании срока подачи предложений (заявок) не подано ни одного предложения (заявки);</w:t>
      </w:r>
    </w:p>
    <w:p w14:paraId="90000000">
      <w:pPr>
        <w:widowControl w:val="0"/>
        <w:spacing w:after="0" w:before="0" w:line="240" w:lineRule="auto"/>
        <w:ind w:firstLine="540"/>
        <w:jc w:val="both"/>
        <w:rPr>
          <w:rFonts w:ascii="Times New Roman" w:hAnsi="Times New Roman"/>
          <w:color w:val="000000"/>
          <w:sz w:val="28"/>
        </w:rPr>
      </w:pPr>
      <w:r>
        <w:rPr>
          <w:rFonts w:ascii="Times New Roman" w:hAnsi="Times New Roman"/>
          <w:color w:val="000000"/>
          <w:sz w:val="28"/>
        </w:rPr>
        <w:t>по результатам рассмотрения предложений (заявок) отклонены все предложения (заявки).</w:t>
      </w:r>
    </w:p>
    <w:p w14:paraId="91000000">
      <w:pPr>
        <w:widowControl w:val="0"/>
        <w:spacing w:after="0" w:before="0" w:line="240" w:lineRule="auto"/>
        <w:ind w:firstLine="540"/>
        <w:jc w:val="both"/>
        <w:rPr>
          <w:rFonts w:ascii="Times New Roman" w:hAnsi="Times New Roman"/>
          <w:color w:val="000000"/>
          <w:sz w:val="28"/>
        </w:rPr>
      </w:pPr>
      <w:r>
        <w:rPr>
          <w:rFonts w:ascii="Times New Roman" w:hAnsi="Times New Roman"/>
          <w:color w:val="000000"/>
          <w:sz w:val="28"/>
        </w:rPr>
        <w:t>Администрация вправе принять р</w:t>
      </w:r>
      <w:r>
        <w:rPr>
          <w:rFonts w:ascii="Times New Roman" w:hAnsi="Times New Roman"/>
          <w:color w:val="000000"/>
          <w:sz w:val="28"/>
        </w:rPr>
        <w:t>ешение об отмене проведения отбора получателей субсидии не позднее чем за один рабочий день до даты окончания приема предложений (заявок) в следующем порядке:</w:t>
      </w:r>
    </w:p>
    <w:p w14:paraId="92000000">
      <w:pPr>
        <w:widowControl w:val="0"/>
        <w:spacing w:after="0" w:before="0" w:line="240" w:lineRule="auto"/>
        <w:ind w:firstLine="540"/>
        <w:jc w:val="both"/>
        <w:rPr>
          <w:rFonts w:ascii="Times New Roman" w:hAnsi="Times New Roman"/>
          <w:color w:val="000000"/>
          <w:sz w:val="28"/>
        </w:rPr>
      </w:pPr>
      <w:r>
        <w:rPr>
          <w:rFonts w:ascii="Times New Roman" w:hAnsi="Times New Roman"/>
          <w:color w:val="000000"/>
          <w:sz w:val="28"/>
        </w:rPr>
        <w:t>Администрация</w:t>
      </w:r>
      <w:r>
        <w:rPr>
          <w:rFonts w:ascii="Times New Roman" w:hAnsi="Times New Roman"/>
          <w:color w:val="000000"/>
          <w:sz w:val="28"/>
        </w:rPr>
        <w:t xml:space="preserve"> размещает объявление об отмене проведения отбора получателей субсидии на официальном </w:t>
      </w:r>
      <w:r>
        <w:rPr>
          <w:rFonts w:ascii="Times New Roman" w:hAnsi="Times New Roman"/>
          <w:color w:val="000000"/>
          <w:sz w:val="28"/>
        </w:rPr>
        <w:t>Интернет-портале Администрации города Батайска</w:t>
      </w:r>
      <w:r>
        <w:rPr>
          <w:rFonts w:ascii="Times New Roman" w:hAnsi="Times New Roman"/>
          <w:color w:val="000000"/>
          <w:sz w:val="28"/>
        </w:rPr>
        <w:t>, с указанием информации о причинах отмены отбора получателей субсидий;</w:t>
      </w:r>
    </w:p>
    <w:p w14:paraId="93000000">
      <w:pPr>
        <w:widowControl w:val="0"/>
        <w:spacing w:after="0" w:before="0" w:line="240" w:lineRule="auto"/>
        <w:ind w:firstLine="540"/>
        <w:jc w:val="both"/>
        <w:rPr>
          <w:rFonts w:ascii="Times New Roman" w:hAnsi="Times New Roman"/>
          <w:color w:val="000000"/>
          <w:sz w:val="28"/>
        </w:rPr>
      </w:pPr>
      <w:r>
        <w:rPr>
          <w:rFonts w:ascii="Times New Roman" w:hAnsi="Times New Roman"/>
          <w:color w:val="000000"/>
          <w:sz w:val="28"/>
        </w:rPr>
        <w:t>участники отбора получателей субсидий, подавшие предлож</w:t>
      </w:r>
      <w:r>
        <w:rPr>
          <w:rFonts w:ascii="Times New Roman" w:hAnsi="Times New Roman"/>
          <w:color w:val="000000"/>
          <w:sz w:val="28"/>
        </w:rPr>
        <w:t>ения (заявки), информируются об отмене проведения отбора получателей субсидий путем направления уведомления;</w:t>
      </w:r>
    </w:p>
    <w:p w14:paraId="94000000">
      <w:pPr>
        <w:widowControl w:val="0"/>
        <w:spacing w:after="0" w:before="0" w:line="240" w:lineRule="auto"/>
        <w:ind w:firstLine="540"/>
        <w:jc w:val="both"/>
        <w:rPr>
          <w:rFonts w:ascii="Times New Roman" w:hAnsi="Times New Roman"/>
          <w:color w:val="000000"/>
          <w:sz w:val="28"/>
        </w:rPr>
      </w:pPr>
      <w:r>
        <w:rPr>
          <w:rFonts w:ascii="Times New Roman" w:hAnsi="Times New Roman"/>
          <w:color w:val="000000"/>
          <w:sz w:val="28"/>
        </w:rPr>
        <w:t xml:space="preserve">отбор получателей субсидий считается отмененным со дня размещения объявления о его отмене на официальном </w:t>
      </w:r>
      <w:r>
        <w:rPr>
          <w:rFonts w:ascii="Times New Roman" w:hAnsi="Times New Roman"/>
          <w:color w:val="000000"/>
          <w:sz w:val="28"/>
        </w:rPr>
        <w:t>Интернет-портале Администрации города Батайска</w:t>
      </w:r>
      <w:r>
        <w:rPr>
          <w:rFonts w:ascii="Times New Roman" w:hAnsi="Times New Roman"/>
          <w:color w:val="000000"/>
          <w:sz w:val="28"/>
        </w:rPr>
        <w:t>.</w:t>
      </w:r>
    </w:p>
    <w:p w14:paraId="95000000">
      <w:pPr>
        <w:widowControl w:val="0"/>
        <w:spacing w:after="0" w:before="0" w:line="240" w:lineRule="auto"/>
        <w:ind w:firstLine="540"/>
        <w:jc w:val="both"/>
        <w:rPr>
          <w:rFonts w:ascii="Times New Roman" w:hAnsi="Times New Roman"/>
          <w:color w:val="000000"/>
          <w:sz w:val="28"/>
        </w:rPr>
      </w:pPr>
      <w:r>
        <w:rPr>
          <w:rFonts w:ascii="Times New Roman" w:hAnsi="Times New Roman"/>
          <w:color w:val="000000"/>
          <w:sz w:val="28"/>
        </w:rPr>
        <w:t>2.16. Внесение изменений в объявление о проведении отбора может осуществляться не позднее наступления даты окончания приема предложений (заявок) с соблюдением следующи</w:t>
      </w:r>
      <w:r>
        <w:rPr>
          <w:rFonts w:ascii="Times New Roman" w:hAnsi="Times New Roman"/>
          <w:color w:val="000000"/>
          <w:sz w:val="28"/>
        </w:rPr>
        <w:t>х условий:</w:t>
      </w:r>
    </w:p>
    <w:p w14:paraId="96000000">
      <w:pPr>
        <w:widowControl w:val="0"/>
        <w:spacing w:after="0" w:before="0" w:line="240" w:lineRule="auto"/>
        <w:ind w:firstLine="540"/>
        <w:jc w:val="both"/>
        <w:rPr>
          <w:rFonts w:ascii="Times New Roman" w:hAnsi="Times New Roman"/>
          <w:color w:val="000000"/>
          <w:sz w:val="28"/>
        </w:rPr>
      </w:pPr>
      <w:r>
        <w:rPr>
          <w:rFonts w:ascii="Times New Roman" w:hAnsi="Times New Roman"/>
          <w:color w:val="000000"/>
          <w:sz w:val="28"/>
        </w:rPr>
        <w:t>срок подачи участниками отбора предложений (заявок) должен быть продлен таким образом, чтобы со дня, следующего за днем внесения таких изменений, до даты окончания приема предложений (заявок) указанный срок составлял не менее 3 календарных дней;</w:t>
      </w:r>
    </w:p>
    <w:p w14:paraId="97000000">
      <w:pPr>
        <w:widowControl w:val="0"/>
        <w:spacing w:after="0" w:before="0" w:line="240" w:lineRule="auto"/>
        <w:ind w:firstLine="540"/>
        <w:jc w:val="both"/>
        <w:rPr>
          <w:rFonts w:ascii="Times New Roman" w:hAnsi="Times New Roman"/>
          <w:color w:val="000000"/>
          <w:sz w:val="28"/>
        </w:rPr>
      </w:pPr>
      <w:r>
        <w:rPr>
          <w:rFonts w:ascii="Times New Roman" w:hAnsi="Times New Roman"/>
          <w:color w:val="000000"/>
          <w:sz w:val="28"/>
        </w:rPr>
        <w:t>изменение способа отбора получателей субсидий не допускается;</w:t>
      </w:r>
    </w:p>
    <w:p w14:paraId="98000000">
      <w:pPr>
        <w:widowControl w:val="0"/>
        <w:spacing w:after="0" w:before="0" w:line="240" w:lineRule="auto"/>
        <w:ind w:firstLine="540"/>
        <w:jc w:val="both"/>
        <w:rPr>
          <w:rFonts w:ascii="Times New Roman" w:hAnsi="Times New Roman"/>
          <w:color w:val="000000"/>
          <w:sz w:val="28"/>
        </w:rPr>
      </w:pPr>
      <w:r>
        <w:rPr>
          <w:rFonts w:ascii="Times New Roman" w:hAnsi="Times New Roman"/>
          <w:color w:val="000000"/>
          <w:sz w:val="28"/>
        </w:rPr>
        <w:t>в объявление о проведении отбора включается положение, предусматривающее право участников отбора внести изменения в предложения (заявки) в случае внесения изменений в объявление о проведении от</w:t>
      </w:r>
      <w:r>
        <w:rPr>
          <w:rFonts w:ascii="Times New Roman" w:hAnsi="Times New Roman"/>
          <w:color w:val="000000"/>
          <w:sz w:val="28"/>
        </w:rPr>
        <w:t>бора после наступления даты начала приема предложений (заявок);</w:t>
      </w:r>
    </w:p>
    <w:p w14:paraId="99000000">
      <w:pPr>
        <w:widowControl w:val="0"/>
        <w:spacing w:after="0" w:before="0" w:line="240" w:lineRule="auto"/>
        <w:ind w:firstLine="540"/>
        <w:jc w:val="both"/>
        <w:rPr>
          <w:rFonts w:ascii="Times New Roman" w:hAnsi="Times New Roman"/>
          <w:color w:val="000000"/>
          <w:sz w:val="28"/>
        </w:rPr>
      </w:pPr>
      <w:r>
        <w:rPr>
          <w:rFonts w:ascii="Times New Roman" w:hAnsi="Times New Roman"/>
          <w:color w:val="000000"/>
          <w:sz w:val="28"/>
        </w:rPr>
        <w:t>участники отбора, подавшие предложение (заявку), уведомляются о внесении изменений в объявление о проведении отбора не позднее дня, следующего за днем внесения изменений в объявление о проведе</w:t>
      </w:r>
      <w:r>
        <w:rPr>
          <w:rFonts w:ascii="Times New Roman" w:hAnsi="Times New Roman"/>
          <w:color w:val="000000"/>
          <w:sz w:val="28"/>
        </w:rPr>
        <w:t>нии отбора, с использованием системы "Электронный бюджет".</w:t>
      </w:r>
    </w:p>
    <w:p w14:paraId="9A000000">
      <w:pPr>
        <w:widowControl w:val="0"/>
        <w:spacing w:after="0" w:before="0" w:line="240" w:lineRule="auto"/>
        <w:ind w:firstLine="540"/>
        <w:jc w:val="both"/>
        <w:rPr>
          <w:rFonts w:ascii="Times New Roman" w:hAnsi="Times New Roman"/>
          <w:color w:val="000000"/>
          <w:sz w:val="28"/>
        </w:rPr>
      </w:pPr>
    </w:p>
    <w:p w14:paraId="9B000000">
      <w:pPr>
        <w:widowControl w:val="0"/>
        <w:spacing w:after="0" w:before="0" w:line="240" w:lineRule="auto"/>
        <w:ind/>
        <w:jc w:val="center"/>
        <w:outlineLvl w:val="1"/>
        <w:rPr>
          <w:rFonts w:ascii="Times New Roman" w:hAnsi="Times New Roman"/>
          <w:b w:val="0"/>
          <w:color w:val="000000"/>
          <w:sz w:val="28"/>
        </w:rPr>
      </w:pPr>
      <w:r>
        <w:rPr>
          <w:rFonts w:ascii="Times New Roman" w:hAnsi="Times New Roman"/>
          <w:b w:val="0"/>
          <w:color w:val="000000"/>
          <w:sz w:val="28"/>
        </w:rPr>
        <w:t>3. Условия и порядок предоставления субсидий</w:t>
      </w:r>
    </w:p>
    <w:p w14:paraId="9C000000">
      <w:pPr>
        <w:widowControl w:val="0"/>
        <w:spacing w:after="0" w:before="0" w:line="240" w:lineRule="auto"/>
        <w:ind w:firstLine="540"/>
        <w:jc w:val="both"/>
        <w:rPr>
          <w:rFonts w:ascii="Times New Roman" w:hAnsi="Times New Roman"/>
          <w:color w:val="000000"/>
          <w:sz w:val="28"/>
        </w:rPr>
      </w:pPr>
    </w:p>
    <w:p w14:paraId="9D000000">
      <w:pPr>
        <w:widowControl w:val="0"/>
        <w:spacing w:after="0" w:before="0" w:line="240" w:lineRule="auto"/>
        <w:ind w:firstLine="540"/>
        <w:jc w:val="both"/>
        <w:rPr>
          <w:rFonts w:ascii="Times New Roman" w:hAnsi="Times New Roman"/>
          <w:color w:val="000000"/>
          <w:sz w:val="28"/>
        </w:rPr>
      </w:pPr>
      <w:r>
        <w:rPr>
          <w:rFonts w:ascii="Times New Roman" w:hAnsi="Times New Roman"/>
          <w:color w:val="000000"/>
          <w:sz w:val="28"/>
        </w:rPr>
        <w:t xml:space="preserve">3.1. Субсидии предоставляются получателям субсидий, признанным победителями в результате отбора, соответствующим требованиям, установленным в </w:t>
      </w:r>
      <w:r>
        <w:rPr>
          <w:rFonts w:ascii="Times New Roman" w:hAnsi="Times New Roman"/>
          <w:color w:val="000000"/>
          <w:sz w:val="28"/>
        </w:rPr>
        <w:t>пунктах 1.5</w:t>
      </w:r>
      <w:r>
        <w:rPr>
          <w:rFonts w:ascii="Times New Roman" w:hAnsi="Times New Roman"/>
          <w:color w:val="000000"/>
          <w:sz w:val="28"/>
        </w:rPr>
        <w:t xml:space="preserve"> и 2</w:t>
      </w:r>
      <w:r>
        <w:rPr>
          <w:rFonts w:ascii="Times New Roman" w:hAnsi="Times New Roman"/>
          <w:color w:val="000000"/>
          <w:sz w:val="28"/>
        </w:rPr>
        <w:t>.5</w:t>
      </w:r>
      <w:r>
        <w:rPr>
          <w:rFonts w:ascii="Times New Roman" w:hAnsi="Times New Roman"/>
          <w:color w:val="000000"/>
          <w:sz w:val="28"/>
        </w:rPr>
        <w:t xml:space="preserve"> наст</w:t>
      </w:r>
      <w:r>
        <w:rPr>
          <w:rFonts w:ascii="Times New Roman" w:hAnsi="Times New Roman"/>
          <w:color w:val="000000"/>
          <w:sz w:val="28"/>
        </w:rPr>
        <w:t xml:space="preserve">оящего Порядка и заключившим соглашение с </w:t>
      </w:r>
      <w:r>
        <w:rPr>
          <w:rFonts w:ascii="Times New Roman" w:hAnsi="Times New Roman"/>
          <w:color w:val="000000"/>
          <w:sz w:val="28"/>
        </w:rPr>
        <w:t>Администрацией</w:t>
      </w:r>
      <w:r>
        <w:rPr>
          <w:rFonts w:ascii="Times New Roman" w:hAnsi="Times New Roman"/>
          <w:color w:val="000000"/>
          <w:sz w:val="28"/>
        </w:rPr>
        <w:t>.</w:t>
      </w:r>
    </w:p>
    <w:p w14:paraId="9E000000">
      <w:pPr>
        <w:widowControl w:val="0"/>
        <w:spacing w:after="0" w:before="0" w:line="240" w:lineRule="auto"/>
        <w:ind w:firstLine="540"/>
        <w:jc w:val="both"/>
        <w:rPr>
          <w:rFonts w:ascii="Times New Roman" w:hAnsi="Times New Roman"/>
          <w:color w:val="000000"/>
          <w:sz w:val="28"/>
        </w:rPr>
      </w:pPr>
      <w:r>
        <w:rPr>
          <w:rFonts w:ascii="Times New Roman" w:hAnsi="Times New Roman"/>
          <w:color w:val="000000"/>
          <w:sz w:val="28"/>
        </w:rPr>
        <w:t>Проверка соответствия получателей субсидий установленным требованиям осуществляется при прохождении отбора получателей субсидий.</w:t>
      </w:r>
    </w:p>
    <w:p w14:paraId="9F000000">
      <w:pPr>
        <w:widowControl w:val="0"/>
        <w:spacing w:after="0" w:before="0" w:line="240" w:lineRule="auto"/>
        <w:ind w:firstLine="540"/>
        <w:jc w:val="both"/>
        <w:rPr>
          <w:rFonts w:ascii="Times New Roman" w:hAnsi="Times New Roman"/>
          <w:color w:val="000000"/>
          <w:sz w:val="28"/>
        </w:rPr>
      </w:pPr>
      <w:r>
        <w:rPr>
          <w:rFonts w:ascii="Times New Roman" w:hAnsi="Times New Roman"/>
          <w:color w:val="000000"/>
          <w:sz w:val="28"/>
        </w:rPr>
        <w:t xml:space="preserve">Основаниями для отказа получателям субсидий в предоставлении субсидий </w:t>
      </w:r>
      <w:r>
        <w:rPr>
          <w:rFonts w:ascii="Times New Roman" w:hAnsi="Times New Roman"/>
          <w:color w:val="000000"/>
          <w:sz w:val="28"/>
        </w:rPr>
        <w:t>являются:</w:t>
      </w:r>
    </w:p>
    <w:p w14:paraId="A0000000">
      <w:pPr>
        <w:widowControl w:val="0"/>
        <w:spacing w:after="0" w:before="0" w:line="240" w:lineRule="auto"/>
        <w:ind w:firstLine="540"/>
        <w:jc w:val="both"/>
        <w:rPr>
          <w:rFonts w:ascii="Times New Roman" w:hAnsi="Times New Roman"/>
          <w:color w:val="000000"/>
          <w:sz w:val="28"/>
        </w:rPr>
      </w:pPr>
      <w:r>
        <w:rPr>
          <w:rFonts w:ascii="Times New Roman" w:hAnsi="Times New Roman"/>
          <w:color w:val="000000"/>
          <w:sz w:val="28"/>
        </w:rPr>
        <w:t xml:space="preserve">несоответствие представленных получателем субсидии документов требованиям, определенным в соответствии с </w:t>
      </w:r>
      <w:r>
        <w:rPr>
          <w:rFonts w:ascii="Times New Roman" w:hAnsi="Times New Roman"/>
          <w:color w:val="000000"/>
          <w:sz w:val="28"/>
        </w:rPr>
        <w:t>пунктами 1.4</w:t>
      </w:r>
      <w:r>
        <w:rPr>
          <w:rFonts w:ascii="Times New Roman" w:hAnsi="Times New Roman"/>
          <w:color w:val="000000"/>
          <w:sz w:val="28"/>
        </w:rPr>
        <w:t xml:space="preserve"> и 2</w:t>
      </w:r>
      <w:r>
        <w:rPr>
          <w:rFonts w:ascii="Times New Roman" w:hAnsi="Times New Roman"/>
          <w:color w:val="000000"/>
          <w:sz w:val="28"/>
        </w:rPr>
        <w:t>.6</w:t>
      </w:r>
      <w:r>
        <w:rPr>
          <w:rFonts w:ascii="Times New Roman" w:hAnsi="Times New Roman"/>
          <w:color w:val="000000"/>
          <w:sz w:val="28"/>
        </w:rPr>
        <w:t xml:space="preserve"> настоящего Порядка, или непредставление (представление не в полном объеме) </w:t>
      </w:r>
      <w:r>
        <w:rPr>
          <w:rFonts w:ascii="Times New Roman" w:hAnsi="Times New Roman"/>
          <w:color w:val="000000"/>
          <w:sz w:val="28"/>
        </w:rPr>
        <w:t>указанных документов;</w:t>
      </w:r>
    </w:p>
    <w:p w14:paraId="A1000000">
      <w:pPr>
        <w:widowControl w:val="0"/>
        <w:spacing w:after="0" w:before="0" w:line="240" w:lineRule="auto"/>
        <w:ind w:firstLine="540"/>
        <w:jc w:val="both"/>
        <w:rPr>
          <w:rFonts w:ascii="Times New Roman" w:hAnsi="Times New Roman"/>
          <w:color w:val="000000"/>
          <w:sz w:val="28"/>
        </w:rPr>
      </w:pPr>
      <w:r>
        <w:rPr>
          <w:rFonts w:ascii="Times New Roman" w:hAnsi="Times New Roman"/>
          <w:color w:val="000000"/>
          <w:sz w:val="28"/>
        </w:rPr>
        <w:t xml:space="preserve">несоответствие получателей субсидий критериям, установленным в </w:t>
      </w:r>
      <w:r>
        <w:rPr>
          <w:rFonts w:ascii="Times New Roman" w:hAnsi="Times New Roman"/>
          <w:color w:val="000000"/>
          <w:sz w:val="28"/>
        </w:rPr>
        <w:t>пункте 1.5</w:t>
      </w:r>
      <w:r>
        <w:rPr>
          <w:rFonts w:ascii="Times New Roman" w:hAnsi="Times New Roman"/>
          <w:color w:val="000000"/>
          <w:sz w:val="28"/>
        </w:rPr>
        <w:t xml:space="preserve"> настоящего Порядка;</w:t>
      </w:r>
    </w:p>
    <w:p w14:paraId="A2000000">
      <w:pPr>
        <w:widowControl w:val="0"/>
        <w:spacing w:after="0" w:before="0" w:line="240" w:lineRule="auto"/>
        <w:ind w:firstLine="540"/>
        <w:jc w:val="both"/>
        <w:rPr>
          <w:rFonts w:ascii="Times New Roman" w:hAnsi="Times New Roman"/>
          <w:color w:val="000000"/>
          <w:sz w:val="28"/>
        </w:rPr>
      </w:pPr>
      <w:r>
        <w:rPr>
          <w:rFonts w:ascii="Times New Roman" w:hAnsi="Times New Roman"/>
          <w:color w:val="000000"/>
          <w:sz w:val="28"/>
        </w:rPr>
        <w:t>установление факта недостоверности представленной получателем субсидии информации.</w:t>
      </w:r>
    </w:p>
    <w:p w14:paraId="A3000000">
      <w:pPr>
        <w:pStyle w:val="Style_3"/>
        <w:ind w:firstLine="567"/>
        <w:jc w:val="left"/>
        <w:rPr>
          <w:rFonts w:ascii="Times New Roman" w:hAnsi="Times New Roman"/>
          <w:sz w:val="28"/>
        </w:rPr>
      </w:pPr>
      <w:r>
        <w:rPr>
          <w:rFonts w:ascii="Times New Roman" w:hAnsi="Times New Roman"/>
          <w:sz w:val="28"/>
        </w:rPr>
        <w:t xml:space="preserve">3.2 Порядок </w:t>
      </w:r>
      <w:r>
        <w:rPr>
          <w:rFonts w:ascii="Times New Roman" w:hAnsi="Times New Roman"/>
          <w:sz w:val="28"/>
        </w:rPr>
        <w:t>р</w:t>
      </w:r>
      <w:r>
        <w:rPr>
          <w:rFonts w:ascii="Times New Roman" w:hAnsi="Times New Roman"/>
          <w:sz w:val="28"/>
        </w:rPr>
        <w:t>асчет</w:t>
      </w:r>
      <w:r>
        <w:rPr>
          <w:rFonts w:ascii="Times New Roman" w:hAnsi="Times New Roman"/>
          <w:sz w:val="28"/>
        </w:rPr>
        <w:t>а</w:t>
      </w:r>
      <w:r>
        <w:rPr>
          <w:rFonts w:ascii="Times New Roman" w:hAnsi="Times New Roman"/>
          <w:sz w:val="28"/>
        </w:rPr>
        <w:t xml:space="preserve"> </w:t>
      </w:r>
      <w:r>
        <w:rPr>
          <w:rFonts w:ascii="Times New Roman" w:hAnsi="Times New Roman"/>
          <w:sz w:val="28"/>
        </w:rPr>
        <w:t xml:space="preserve">и обоснования </w:t>
      </w:r>
      <w:r>
        <w:rPr>
          <w:rFonts w:ascii="Times New Roman" w:hAnsi="Times New Roman"/>
          <w:sz w:val="28"/>
        </w:rPr>
        <w:t>суммы субсидии, определяется  следующим образом.</w:t>
      </w:r>
    </w:p>
    <w:p w14:paraId="A4000000">
      <w:pPr>
        <w:ind w:firstLine="567"/>
        <w:contextualSpacing w:val="1"/>
        <w:jc w:val="both"/>
      </w:pPr>
      <w:r>
        <w:rPr>
          <w:spacing w:val="2"/>
        </w:rPr>
        <w:t xml:space="preserve">Количество перевезенных пассажиров </w:t>
      </w:r>
      <w:r>
        <w:rPr>
          <w:i w:val="1"/>
          <w:spacing w:val="2"/>
        </w:rPr>
        <w:t>(</w:t>
      </w:r>
      <w:r>
        <w:rPr>
          <w:i w:val="1"/>
          <w:spacing w:val="2"/>
        </w:rPr>
        <w:t>V</w:t>
      </w:r>
      <w:r>
        <w:rPr>
          <w:i w:val="1"/>
          <w:spacing w:val="2"/>
        </w:rPr>
        <w:t>)</w:t>
      </w:r>
      <w:r>
        <w:rPr>
          <w:spacing w:val="2"/>
        </w:rPr>
        <w:t xml:space="preserve"> </w:t>
      </w:r>
      <w:r>
        <w:rPr>
          <w:spacing w:val="2"/>
        </w:rPr>
        <w:t xml:space="preserve">– </w:t>
      </w:r>
      <w:r>
        <w:rPr>
          <w:spacing w:val="2"/>
        </w:rPr>
        <w:t>заполняется</w:t>
      </w:r>
      <w:r>
        <w:t xml:space="preserve"> на основании данных электронной системы регистрации, учета и оплаты проезда (провоза багажа), представленных оператором транспортной платежной системы города Батайска и (или) данных статистической отчетности и бухгалтерского учета (расчетным путем, при совершении поездок с использованием бумажных проездных документов (билетов, талонов), не учтенных электронной системой регистрации, учета и оплаты проезда (провоза багажа).</w:t>
      </w:r>
    </w:p>
    <w:p w14:paraId="A5000000">
      <w:pPr>
        <w:spacing w:line="315" w:lineRule="atLeast"/>
        <w:ind w:firstLine="709"/>
        <w:jc w:val="both"/>
        <w:rPr>
          <w:spacing w:val="2"/>
        </w:rPr>
      </w:pPr>
      <w:r>
        <w:rPr>
          <w:color w:val="000000"/>
        </w:rPr>
        <w:t xml:space="preserve">Разница между тарифом на перевозку пассажиров и багажа и экономически обоснованным тарифом, установленным постановлением Администрации города Батайска </w:t>
      </w:r>
      <w:r>
        <w:rPr>
          <w:i w:val="1"/>
          <w:color w:val="000000"/>
        </w:rPr>
        <w:t>(Т)</w:t>
      </w:r>
      <w:r>
        <w:rPr>
          <w:i w:val="1"/>
          <w:color w:val="000000"/>
        </w:rPr>
        <w:t xml:space="preserve"> </w:t>
      </w:r>
      <w:r>
        <w:rPr>
          <w:color w:val="000000"/>
        </w:rPr>
        <w:t>рассчитывается по формуле:</w:t>
      </w:r>
    </w:p>
    <w:p w14:paraId="A6000000">
      <w:pPr>
        <w:spacing w:line="315" w:lineRule="atLeast"/>
        <w:ind w:firstLine="709"/>
        <w:jc w:val="both"/>
        <w:rPr>
          <w:i w:val="1"/>
          <w:spacing w:val="2"/>
        </w:rPr>
      </w:pPr>
      <w:r>
        <w:rPr>
          <w:i w:val="1"/>
          <w:spacing w:val="2"/>
        </w:rPr>
        <w:t>Т = Т</w:t>
      </w:r>
      <w:r>
        <w:rPr>
          <w:i w:val="1"/>
          <w:spacing w:val="2"/>
          <w:vertAlign w:val="subscript"/>
        </w:rPr>
        <w:t>0</w:t>
      </w:r>
      <w:r>
        <w:rPr>
          <w:i w:val="1"/>
          <w:spacing w:val="2"/>
        </w:rPr>
        <w:t xml:space="preserve"> </w:t>
      </w:r>
      <w:r>
        <w:rPr>
          <w:i w:val="1"/>
          <w:spacing w:val="2"/>
        </w:rPr>
        <w:t>–</w:t>
      </w:r>
      <w:r>
        <w:rPr>
          <w:i w:val="1"/>
          <w:spacing w:val="2"/>
        </w:rPr>
        <w:t xml:space="preserve"> Т</w:t>
      </w:r>
      <w:r>
        <w:rPr>
          <w:i w:val="1"/>
          <w:spacing w:val="2"/>
          <w:vertAlign w:val="subscript"/>
        </w:rPr>
        <w:t>1</w:t>
      </w:r>
      <w:r>
        <w:rPr>
          <w:i w:val="1"/>
          <w:spacing w:val="2"/>
          <w:vertAlign w:val="subscript"/>
        </w:rPr>
        <w:t xml:space="preserve">, </w:t>
      </w:r>
      <w:r>
        <w:rPr>
          <w:spacing w:val="2"/>
        </w:rPr>
        <w:t>где</w:t>
      </w:r>
    </w:p>
    <w:p w14:paraId="A7000000">
      <w:pPr>
        <w:spacing w:line="315" w:lineRule="atLeast"/>
        <w:ind w:firstLine="709"/>
        <w:jc w:val="both"/>
        <w:rPr>
          <w:color w:val="000000"/>
        </w:rPr>
      </w:pPr>
      <w:r>
        <w:rPr>
          <w:i w:val="1"/>
          <w:spacing w:val="2"/>
        </w:rPr>
        <w:t>Т</w:t>
      </w:r>
      <w:r>
        <w:rPr>
          <w:i w:val="1"/>
          <w:spacing w:val="2"/>
          <w:vertAlign w:val="subscript"/>
        </w:rPr>
        <w:t>0</w:t>
      </w:r>
      <w:r>
        <w:rPr>
          <w:i w:val="1"/>
          <w:spacing w:val="2"/>
        </w:rPr>
        <w:t xml:space="preserve"> </w:t>
      </w:r>
      <w:r>
        <w:rPr>
          <w:i w:val="1"/>
          <w:spacing w:val="2"/>
        </w:rPr>
        <w:t>–</w:t>
      </w:r>
      <w:r>
        <w:rPr>
          <w:i w:val="1"/>
          <w:spacing w:val="2"/>
        </w:rPr>
        <w:t xml:space="preserve"> </w:t>
      </w:r>
      <w:r>
        <w:rPr>
          <w:color w:val="000000"/>
        </w:rPr>
        <w:t>экономически обоснованны</w:t>
      </w:r>
      <w:r>
        <w:rPr>
          <w:color w:val="000000"/>
        </w:rPr>
        <w:t>й тариф</w:t>
      </w:r>
      <w:r>
        <w:rPr>
          <w:color w:val="000000"/>
        </w:rPr>
        <w:t>, установленны</w:t>
      </w:r>
      <w:r>
        <w:rPr>
          <w:color w:val="000000"/>
        </w:rPr>
        <w:t>й</w:t>
      </w:r>
      <w:r>
        <w:rPr>
          <w:color w:val="000000"/>
        </w:rPr>
        <w:t xml:space="preserve"> постановлением Администрации города Батайска</w:t>
      </w:r>
      <w:r>
        <w:rPr>
          <w:color w:val="000000"/>
        </w:rPr>
        <w:t xml:space="preserve">, </w:t>
      </w:r>
    </w:p>
    <w:p w14:paraId="A8000000">
      <w:pPr>
        <w:spacing w:line="315" w:lineRule="atLeast"/>
        <w:ind w:firstLine="709"/>
        <w:jc w:val="both"/>
        <w:rPr>
          <w:i w:val="1"/>
          <w:vertAlign w:val="subscript"/>
        </w:rPr>
      </w:pPr>
      <w:r>
        <w:rPr>
          <w:i w:val="1"/>
          <w:spacing w:val="2"/>
        </w:rPr>
        <w:t>Т</w:t>
      </w:r>
      <w:r>
        <w:rPr>
          <w:i w:val="1"/>
          <w:spacing w:val="2"/>
          <w:vertAlign w:val="subscript"/>
        </w:rPr>
        <w:t>1</w:t>
      </w:r>
      <w:r>
        <w:rPr>
          <w:i w:val="1"/>
          <w:spacing w:val="2"/>
        </w:rPr>
        <w:t xml:space="preserve"> </w:t>
      </w:r>
      <w:r>
        <w:rPr>
          <w:i w:val="1"/>
          <w:spacing w:val="2"/>
        </w:rPr>
        <w:t>–</w:t>
      </w:r>
      <w:r>
        <w:rPr>
          <w:i w:val="1"/>
          <w:spacing w:val="2"/>
        </w:rPr>
        <w:t xml:space="preserve"> </w:t>
      </w:r>
      <w:r>
        <w:rPr>
          <w:color w:val="000000"/>
        </w:rPr>
        <w:t>тариф на перевозку пассажиров и багажа</w:t>
      </w:r>
      <w:r>
        <w:rPr>
          <w:color w:val="000000"/>
        </w:rPr>
        <w:t xml:space="preserve"> для населения города Батайска.</w:t>
      </w:r>
    </w:p>
    <w:p w14:paraId="A9000000">
      <w:pPr>
        <w:spacing w:line="315" w:lineRule="atLeast"/>
        <w:ind w:firstLine="709"/>
        <w:jc w:val="both"/>
        <w:rPr>
          <w:spacing w:val="2"/>
        </w:rPr>
      </w:pPr>
      <w:r>
        <w:t xml:space="preserve">Сумма субсидии </w:t>
      </w:r>
      <w:r>
        <w:rPr>
          <w:i w:val="1"/>
        </w:rPr>
        <w:t>(</w:t>
      </w:r>
      <w:r>
        <w:rPr>
          <w:i w:val="1"/>
        </w:rPr>
        <w:t>C</w:t>
      </w:r>
      <w:r>
        <w:rPr>
          <w:i w:val="1"/>
        </w:rPr>
        <w:t>)</w:t>
      </w:r>
      <w:r>
        <w:rPr>
          <w:spacing w:val="2"/>
        </w:rPr>
        <w:t xml:space="preserve"> рассчитывается по формуле:</w:t>
      </w:r>
    </w:p>
    <w:p w14:paraId="AA000000">
      <w:pPr>
        <w:spacing w:line="315" w:lineRule="atLeast"/>
        <w:ind w:firstLine="709"/>
        <w:jc w:val="both"/>
        <w:rPr>
          <w:spacing w:val="2"/>
        </w:rPr>
      </w:pPr>
      <w:r>
        <w:rPr>
          <w:i w:val="1"/>
          <w:spacing w:val="2"/>
        </w:rPr>
        <w:t xml:space="preserve">С = </w:t>
      </w:r>
      <w:r>
        <w:rPr>
          <w:i w:val="1"/>
          <w:spacing w:val="2"/>
        </w:rPr>
        <w:t>V</w:t>
      </w:r>
      <w:r>
        <w:rPr>
          <w:i w:val="1"/>
          <w:spacing w:val="2"/>
        </w:rPr>
        <w:t xml:space="preserve"> * </w:t>
      </w:r>
      <w:r>
        <w:rPr>
          <w:i w:val="1"/>
          <w:spacing w:val="2"/>
        </w:rPr>
        <w:t>T</w:t>
      </w:r>
      <w:r>
        <w:rPr>
          <w:spacing w:val="2"/>
        </w:rPr>
        <w:t>,</w:t>
      </w:r>
      <w:r>
        <w:rPr>
          <w:spacing w:val="2"/>
        </w:rPr>
        <w:t xml:space="preserve"> где</w:t>
      </w:r>
    </w:p>
    <w:p w14:paraId="AB000000">
      <w:pPr>
        <w:spacing w:line="315" w:lineRule="atLeast"/>
        <w:ind w:firstLine="709"/>
        <w:jc w:val="both"/>
        <w:rPr>
          <w:spacing w:val="2"/>
        </w:rPr>
      </w:pPr>
      <w:r>
        <w:rPr>
          <w:i w:val="1"/>
          <w:spacing w:val="2"/>
        </w:rPr>
        <w:t>V</w:t>
      </w:r>
      <w:r>
        <w:rPr>
          <w:spacing w:val="2"/>
        </w:rPr>
        <w:t xml:space="preserve"> – </w:t>
      </w:r>
      <w:r>
        <w:rPr>
          <w:spacing w:val="2"/>
        </w:rPr>
        <w:t>количество</w:t>
      </w:r>
      <w:r>
        <w:rPr>
          <w:spacing w:val="2"/>
        </w:rPr>
        <w:t xml:space="preserve"> перевезенных пассажиров всего</w:t>
      </w:r>
      <w:r>
        <w:rPr>
          <w:spacing w:val="2"/>
        </w:rPr>
        <w:t>;</w:t>
      </w:r>
    </w:p>
    <w:p w14:paraId="AC000000">
      <w:pPr>
        <w:spacing w:line="315" w:lineRule="atLeast"/>
        <w:ind w:firstLine="709"/>
        <w:jc w:val="both"/>
      </w:pPr>
      <w:r>
        <w:rPr>
          <w:i w:val="1"/>
          <w:spacing w:val="2"/>
        </w:rPr>
        <w:t>T</w:t>
      </w:r>
      <w:r>
        <w:rPr>
          <w:spacing w:val="2"/>
        </w:rPr>
        <w:t xml:space="preserve"> – </w:t>
      </w:r>
      <w:r>
        <w:rPr>
          <w:color w:val="000000"/>
        </w:rPr>
        <w:t>р</w:t>
      </w:r>
      <w:r>
        <w:rPr>
          <w:color w:val="000000"/>
        </w:rPr>
        <w:t>азница</w:t>
      </w:r>
      <w:r>
        <w:rPr>
          <w:color w:val="000000"/>
        </w:rPr>
        <w:t xml:space="preserve"> между тарифом на перевозку пассажиров и багажа и экономически обоснованным тарифом, установленным постановлением Администрации города Батайска</w:t>
      </w:r>
      <w:r>
        <w:rPr>
          <w:color w:val="000000"/>
        </w:rPr>
        <w:t>.</w:t>
      </w:r>
    </w:p>
    <w:p w14:paraId="AD000000">
      <w:pPr>
        <w:widowControl w:val="0"/>
        <w:spacing w:after="0" w:before="0" w:line="240" w:lineRule="auto"/>
        <w:ind w:firstLine="540"/>
        <w:jc w:val="both"/>
        <w:rPr>
          <w:rFonts w:ascii="Times New Roman" w:hAnsi="Times New Roman"/>
          <w:color w:val="000000"/>
          <w:sz w:val="28"/>
        </w:rPr>
      </w:pPr>
      <w:r>
        <w:rPr>
          <w:rFonts w:ascii="Times New Roman" w:hAnsi="Times New Roman"/>
          <w:color w:val="000000"/>
          <w:sz w:val="28"/>
        </w:rPr>
        <w:t xml:space="preserve">3.3. </w:t>
      </w:r>
      <w:r>
        <w:rPr>
          <w:rFonts w:ascii="Times New Roman" w:hAnsi="Times New Roman"/>
          <w:color w:val="000000"/>
          <w:sz w:val="28"/>
        </w:rPr>
        <w:t>Администрация</w:t>
      </w:r>
      <w:r>
        <w:rPr>
          <w:rFonts w:ascii="Times New Roman" w:hAnsi="Times New Roman"/>
          <w:color w:val="000000"/>
          <w:sz w:val="28"/>
        </w:rPr>
        <w:t xml:space="preserve"> и получатели субсидий вправе заключить дополнительное соглашение к действующим соглашениям, в том числе в связи с решением </w:t>
      </w:r>
      <w:r>
        <w:rPr>
          <w:rFonts w:ascii="Times New Roman" w:hAnsi="Times New Roman"/>
          <w:color w:val="000000"/>
          <w:sz w:val="28"/>
        </w:rPr>
        <w:t>Администрации</w:t>
      </w:r>
      <w:r>
        <w:rPr>
          <w:rFonts w:ascii="Times New Roman" w:hAnsi="Times New Roman"/>
          <w:color w:val="000000"/>
          <w:sz w:val="28"/>
        </w:rPr>
        <w:t xml:space="preserve"> об изменении условий соглашений, на основании инфо</w:t>
      </w:r>
      <w:r>
        <w:rPr>
          <w:rFonts w:ascii="Times New Roman" w:hAnsi="Times New Roman"/>
          <w:color w:val="000000"/>
          <w:sz w:val="28"/>
        </w:rPr>
        <w:t xml:space="preserve">рмации и предложений, направленных получателями субсидий по уменьшению размера субсидий, либо по увеличению размера субсидий, при наличии неиспользованных </w:t>
      </w:r>
      <w:r>
        <w:rPr>
          <w:rFonts w:ascii="Times New Roman" w:hAnsi="Times New Roman"/>
          <w:color w:val="000000"/>
          <w:sz w:val="28"/>
        </w:rPr>
        <w:t>лимитов бюджетных обязательств и при условии предоставления информации, содержащей финансово-экономич</w:t>
      </w:r>
      <w:r>
        <w:rPr>
          <w:rFonts w:ascii="Times New Roman" w:hAnsi="Times New Roman"/>
          <w:color w:val="000000"/>
          <w:sz w:val="28"/>
        </w:rPr>
        <w:t>еское обоснование данного изменения, без повторного прохождения отбора.</w:t>
      </w:r>
    </w:p>
    <w:p w14:paraId="AE000000">
      <w:pPr>
        <w:widowControl w:val="0"/>
        <w:spacing w:after="0" w:before="0" w:line="240" w:lineRule="auto"/>
        <w:ind w:firstLine="540"/>
        <w:jc w:val="both"/>
        <w:rPr>
          <w:rFonts w:ascii="Times New Roman" w:hAnsi="Times New Roman"/>
          <w:color w:val="000000"/>
          <w:sz w:val="28"/>
        </w:rPr>
      </w:pPr>
      <w:r>
        <w:rPr>
          <w:rFonts w:ascii="Times New Roman" w:hAnsi="Times New Roman"/>
          <w:color w:val="000000"/>
          <w:sz w:val="28"/>
        </w:rPr>
        <w:t xml:space="preserve">3.4. В случае нарушения получателями субсидий порядка и условий предоставления субсидий, выявленного в результате осуществляемого </w:t>
      </w:r>
      <w:r>
        <w:rPr>
          <w:rFonts w:ascii="Times New Roman" w:hAnsi="Times New Roman"/>
          <w:color w:val="000000"/>
          <w:sz w:val="28"/>
        </w:rPr>
        <w:t>Администрацией</w:t>
      </w:r>
      <w:r>
        <w:rPr>
          <w:rFonts w:ascii="Times New Roman" w:hAnsi="Times New Roman"/>
          <w:color w:val="000000"/>
          <w:sz w:val="28"/>
        </w:rPr>
        <w:t xml:space="preserve"> контроля (проверок), а также контроля (п</w:t>
      </w:r>
      <w:r>
        <w:rPr>
          <w:rFonts w:ascii="Times New Roman" w:hAnsi="Times New Roman"/>
          <w:color w:val="000000"/>
          <w:sz w:val="28"/>
        </w:rPr>
        <w:t xml:space="preserve">роверок), осуществляемого органами государственного (муниципального) финансового контроля в соответствии со </w:t>
      </w:r>
      <w:r>
        <w:rPr>
          <w:rFonts w:ascii="Times New Roman" w:hAnsi="Times New Roman"/>
          <w:color w:val="000000"/>
          <w:sz w:val="28"/>
        </w:rPr>
        <w:fldChar w:fldCharType="begin"/>
      </w:r>
      <w:r>
        <w:rPr>
          <w:rFonts w:ascii="Times New Roman" w:hAnsi="Times New Roman"/>
          <w:color w:val="000000"/>
          <w:sz w:val="28"/>
        </w:rPr>
        <w:instrText>HYPERLINK "https://login.consultant.ru/link/?req=doc&amp;base=LAW&amp;n=500021&amp;dst=3704"</w:instrText>
      </w:r>
      <w:r>
        <w:rPr>
          <w:rFonts w:ascii="Times New Roman" w:hAnsi="Times New Roman"/>
          <w:color w:val="000000"/>
          <w:sz w:val="28"/>
        </w:rPr>
        <w:fldChar w:fldCharType="separate"/>
      </w:r>
      <w:r>
        <w:rPr>
          <w:rFonts w:ascii="Times New Roman" w:hAnsi="Times New Roman"/>
          <w:color w:val="000000"/>
          <w:sz w:val="28"/>
        </w:rPr>
        <w:t>статьями 268.1</w:t>
      </w:r>
      <w:r>
        <w:rPr>
          <w:rFonts w:ascii="Times New Roman" w:hAnsi="Times New Roman"/>
          <w:color w:val="000000"/>
          <w:sz w:val="28"/>
        </w:rPr>
        <w:fldChar w:fldCharType="end"/>
      </w:r>
      <w:r>
        <w:rPr>
          <w:rFonts w:ascii="Times New Roman" w:hAnsi="Times New Roman"/>
          <w:color w:val="000000"/>
          <w:sz w:val="28"/>
        </w:rPr>
        <w:t xml:space="preserve"> и </w:t>
      </w:r>
      <w:r>
        <w:rPr>
          <w:rFonts w:ascii="Times New Roman" w:hAnsi="Times New Roman"/>
          <w:color w:val="000000"/>
          <w:sz w:val="28"/>
        </w:rPr>
        <w:fldChar w:fldCharType="begin"/>
      </w:r>
      <w:r>
        <w:rPr>
          <w:rFonts w:ascii="Times New Roman" w:hAnsi="Times New Roman"/>
          <w:color w:val="000000"/>
          <w:sz w:val="28"/>
        </w:rPr>
        <w:instrText>HYPERLINK "https://login.consultant.ru/link/?req=doc&amp;base=LAW&amp;n=500021&amp;dst=3722"</w:instrText>
      </w:r>
      <w:r>
        <w:rPr>
          <w:rFonts w:ascii="Times New Roman" w:hAnsi="Times New Roman"/>
          <w:color w:val="000000"/>
          <w:sz w:val="28"/>
        </w:rPr>
        <w:fldChar w:fldCharType="separate"/>
      </w:r>
      <w:r>
        <w:rPr>
          <w:rFonts w:ascii="Times New Roman" w:hAnsi="Times New Roman"/>
          <w:color w:val="000000"/>
          <w:sz w:val="28"/>
        </w:rPr>
        <w:t>269.2</w:t>
      </w:r>
      <w:r>
        <w:rPr>
          <w:rFonts w:ascii="Times New Roman" w:hAnsi="Times New Roman"/>
          <w:color w:val="000000"/>
          <w:sz w:val="28"/>
        </w:rPr>
        <w:fldChar w:fldCharType="end"/>
      </w:r>
      <w:r>
        <w:rPr>
          <w:rFonts w:ascii="Times New Roman" w:hAnsi="Times New Roman"/>
          <w:color w:val="000000"/>
          <w:sz w:val="28"/>
        </w:rPr>
        <w:t xml:space="preserve"> Бюджетного кодекса Российской Федерации, принимается решение о возврате неправомерно полученной субсидии в течение 30 рабочих дней.</w:t>
      </w:r>
    </w:p>
    <w:p w14:paraId="AF000000">
      <w:pPr>
        <w:widowControl w:val="0"/>
        <w:spacing w:after="0" w:before="0" w:line="240" w:lineRule="auto"/>
        <w:ind w:firstLine="540"/>
        <w:jc w:val="both"/>
        <w:rPr>
          <w:rFonts w:ascii="Times New Roman" w:hAnsi="Times New Roman"/>
          <w:color w:val="000000"/>
          <w:sz w:val="28"/>
        </w:rPr>
      </w:pPr>
      <w:r>
        <w:rPr>
          <w:rFonts w:ascii="Times New Roman" w:hAnsi="Times New Roman"/>
          <w:color w:val="000000"/>
          <w:sz w:val="28"/>
        </w:rPr>
        <w:t xml:space="preserve">3.5. </w:t>
      </w:r>
      <w:r>
        <w:rPr>
          <w:rFonts w:ascii="Times New Roman" w:hAnsi="Times New Roman"/>
          <w:color w:val="000000"/>
          <w:sz w:val="28"/>
        </w:rPr>
        <w:t>Администрация</w:t>
      </w:r>
      <w:r>
        <w:rPr>
          <w:rFonts w:ascii="Times New Roman" w:hAnsi="Times New Roman"/>
          <w:color w:val="000000"/>
          <w:sz w:val="28"/>
        </w:rPr>
        <w:t xml:space="preserve"> заключает с получателями субсидий соглашения на предоставление субси</w:t>
      </w:r>
      <w:r>
        <w:rPr>
          <w:rFonts w:ascii="Times New Roman" w:hAnsi="Times New Roman"/>
          <w:color w:val="000000"/>
          <w:sz w:val="28"/>
        </w:rPr>
        <w:t>дий в соответствии с типовой формой, установленной Финансовым управлением города Батайска.</w:t>
      </w:r>
    </w:p>
    <w:p w14:paraId="B0000000">
      <w:pPr>
        <w:widowControl w:val="0"/>
        <w:spacing w:after="0" w:before="0" w:line="240" w:lineRule="auto"/>
        <w:ind w:firstLine="540"/>
        <w:jc w:val="both"/>
        <w:rPr>
          <w:rFonts w:ascii="Times New Roman" w:hAnsi="Times New Roman"/>
          <w:color w:val="000000"/>
          <w:sz w:val="28"/>
        </w:rPr>
      </w:pPr>
      <w:r>
        <w:rPr>
          <w:rFonts w:ascii="Times New Roman" w:hAnsi="Times New Roman"/>
          <w:color w:val="000000"/>
          <w:sz w:val="28"/>
        </w:rPr>
        <w:t xml:space="preserve">В соглашения включается условие о согласовании новых условий соглашений или о их расторжении (при недостижении согласия по новым условиям), в случае уменьшения </w:t>
      </w:r>
      <w:r>
        <w:rPr>
          <w:rFonts w:ascii="Times New Roman" w:hAnsi="Times New Roman"/>
          <w:color w:val="000000"/>
          <w:sz w:val="28"/>
        </w:rPr>
        <w:t>Администрации</w:t>
      </w:r>
      <w:r>
        <w:rPr>
          <w:rFonts w:ascii="Times New Roman" w:hAnsi="Times New Roman"/>
          <w:color w:val="000000"/>
          <w:sz w:val="28"/>
        </w:rPr>
        <w:t xml:space="preserve"> ранее доведе</w:t>
      </w:r>
      <w:r>
        <w:rPr>
          <w:rFonts w:ascii="Times New Roman" w:hAnsi="Times New Roman"/>
          <w:color w:val="000000"/>
          <w:sz w:val="28"/>
        </w:rPr>
        <w:t xml:space="preserve">нных лимитов бюджетных обязательств на цели, установленные в </w:t>
      </w:r>
      <w:r>
        <w:rPr>
          <w:rFonts w:ascii="Times New Roman" w:hAnsi="Times New Roman"/>
          <w:color w:val="000000"/>
          <w:sz w:val="28"/>
        </w:rPr>
        <w:t>пункте 1.2</w:t>
      </w:r>
      <w:r>
        <w:rPr>
          <w:rFonts w:ascii="Times New Roman" w:hAnsi="Times New Roman"/>
          <w:color w:val="000000"/>
          <w:sz w:val="28"/>
        </w:rPr>
        <w:t xml:space="preserve"> настоящего Порядка, приводящего к невозможности предоставления субсидий в размере, определенном в соглашениях.</w:t>
      </w:r>
    </w:p>
    <w:p w14:paraId="B1000000">
      <w:pPr>
        <w:widowControl w:val="0"/>
        <w:spacing w:after="0" w:before="0" w:line="240" w:lineRule="auto"/>
        <w:ind w:firstLine="540"/>
        <w:jc w:val="both"/>
        <w:rPr>
          <w:rFonts w:ascii="Times New Roman" w:hAnsi="Times New Roman"/>
          <w:color w:val="000000"/>
          <w:sz w:val="28"/>
        </w:rPr>
      </w:pPr>
      <w:r>
        <w:rPr>
          <w:rFonts w:ascii="Times New Roman" w:hAnsi="Times New Roman"/>
          <w:color w:val="000000"/>
          <w:sz w:val="28"/>
        </w:rPr>
        <w:t>3.6. При реорганизации получателей субсидий, являю</w:t>
      </w:r>
      <w:r>
        <w:rPr>
          <w:rFonts w:ascii="Times New Roman" w:hAnsi="Times New Roman"/>
          <w:color w:val="000000"/>
          <w:sz w:val="28"/>
        </w:rPr>
        <w:t>щихся юридическими лицами, в форме слияния, присоединения, преобразования в соглашения вносятся изменения путем заключения дополнительного соглашения в части перемены лица в обязательстве с указанием в соглашении юридического лица, являющегося правопреемни</w:t>
      </w:r>
      <w:r>
        <w:rPr>
          <w:rFonts w:ascii="Times New Roman" w:hAnsi="Times New Roman"/>
          <w:color w:val="000000"/>
          <w:sz w:val="28"/>
        </w:rPr>
        <w:t>ком.</w:t>
      </w:r>
    </w:p>
    <w:p w14:paraId="B2000000">
      <w:pPr>
        <w:widowControl w:val="0"/>
        <w:spacing w:after="0" w:before="0" w:line="240" w:lineRule="auto"/>
        <w:ind w:firstLine="540"/>
        <w:jc w:val="both"/>
        <w:rPr>
          <w:rFonts w:ascii="Times New Roman" w:hAnsi="Times New Roman"/>
          <w:color w:val="000000"/>
          <w:sz w:val="28"/>
        </w:rPr>
      </w:pPr>
      <w:r>
        <w:rPr>
          <w:rFonts w:ascii="Times New Roman" w:hAnsi="Times New Roman"/>
          <w:color w:val="000000"/>
          <w:sz w:val="28"/>
        </w:rPr>
        <w:t>При реорганизации получателей субсидий, являющихся юридическими лицами, в форме разделения, выделения, а также при ликвидации получателей субсидий, являющихся юридическими лицами, или прекращении деятельности получателей субсидий, являющихся индивидуа</w:t>
      </w:r>
      <w:r>
        <w:rPr>
          <w:rFonts w:ascii="Times New Roman" w:hAnsi="Times New Roman"/>
          <w:color w:val="000000"/>
          <w:sz w:val="28"/>
        </w:rPr>
        <w:t>льными предпринимателями, соглашения расторгаются с формированием уведомления о расторжении соглашений в одностороннем порядке и акта об исполнении обязательств по соглашениям с отражением информации о неисполненных получателями субсидий обязательствах, ис</w:t>
      </w:r>
      <w:r>
        <w:rPr>
          <w:rFonts w:ascii="Times New Roman" w:hAnsi="Times New Roman"/>
          <w:color w:val="000000"/>
          <w:sz w:val="28"/>
        </w:rPr>
        <w:t>точником финансового обеспечения которых являются субсидии, и возврате неиспользованного остатка субсидий в соответствующий бюджет бюджетной системы Российской Федерации.</w:t>
      </w:r>
    </w:p>
    <w:p w14:paraId="B3000000">
      <w:pPr>
        <w:widowControl w:val="0"/>
        <w:spacing w:after="0" w:before="0" w:line="240" w:lineRule="auto"/>
        <w:ind w:firstLine="540"/>
        <w:jc w:val="both"/>
        <w:rPr>
          <w:rFonts w:ascii="Times New Roman" w:hAnsi="Times New Roman"/>
          <w:color w:val="000000"/>
          <w:sz w:val="28"/>
        </w:rPr>
      </w:pPr>
      <w:r>
        <w:rPr>
          <w:rFonts w:ascii="Times New Roman" w:hAnsi="Times New Roman"/>
          <w:color w:val="000000"/>
          <w:sz w:val="28"/>
        </w:rPr>
        <w:t xml:space="preserve">3.7. С целью формирования кассовой заявки получатели субсидии ежемесячно в срок до 15 числа месяца, предшествующего месяцу, в котором запланирована выплата субсидии, предоставляют в </w:t>
      </w:r>
      <w:r>
        <w:rPr>
          <w:rFonts w:ascii="Times New Roman" w:hAnsi="Times New Roman"/>
          <w:color w:val="000000"/>
          <w:sz w:val="28"/>
        </w:rPr>
        <w:t>Администрацию</w:t>
      </w:r>
      <w:r>
        <w:rPr>
          <w:rFonts w:ascii="Times New Roman" w:hAnsi="Times New Roman"/>
          <w:color w:val="000000"/>
          <w:sz w:val="28"/>
        </w:rPr>
        <w:t xml:space="preserve"> заявку на предоставление субсидий для включения в кассовый пла</w:t>
      </w:r>
      <w:r>
        <w:rPr>
          <w:rFonts w:ascii="Times New Roman" w:hAnsi="Times New Roman"/>
          <w:color w:val="000000"/>
          <w:sz w:val="28"/>
        </w:rPr>
        <w:t>н с нарочным на бумажном носителе или посредством электронной связи.</w:t>
      </w:r>
    </w:p>
    <w:p w14:paraId="B4000000">
      <w:pPr>
        <w:widowControl w:val="0"/>
        <w:spacing w:after="0" w:before="0" w:line="240" w:lineRule="auto"/>
        <w:ind w:firstLine="540"/>
        <w:jc w:val="both"/>
        <w:rPr>
          <w:rFonts w:ascii="Times New Roman" w:hAnsi="Times New Roman"/>
          <w:color w:val="000000"/>
          <w:sz w:val="28"/>
        </w:rPr>
      </w:pPr>
      <w:r>
        <w:rPr>
          <w:rFonts w:ascii="Times New Roman" w:hAnsi="Times New Roman"/>
          <w:color w:val="000000"/>
          <w:sz w:val="28"/>
        </w:rPr>
        <w:t xml:space="preserve">3.8. Для получения субсидий получатели субсидий представляют в </w:t>
      </w:r>
      <w:r>
        <w:rPr>
          <w:rFonts w:ascii="Times New Roman" w:hAnsi="Times New Roman"/>
          <w:color w:val="000000"/>
          <w:sz w:val="28"/>
        </w:rPr>
        <w:t>Администрацию</w:t>
      </w:r>
      <w:r>
        <w:rPr>
          <w:rFonts w:ascii="Times New Roman" w:hAnsi="Times New Roman"/>
          <w:color w:val="000000"/>
          <w:sz w:val="28"/>
        </w:rPr>
        <w:t xml:space="preserve"> следующие документы:</w:t>
      </w:r>
    </w:p>
    <w:p w14:paraId="B5000000">
      <w:pPr>
        <w:widowControl w:val="0"/>
        <w:spacing w:after="0" w:before="0" w:line="240" w:lineRule="auto"/>
        <w:ind w:firstLine="540"/>
        <w:jc w:val="both"/>
        <w:rPr>
          <w:rFonts w:ascii="Times New Roman" w:hAnsi="Times New Roman"/>
          <w:color w:val="000000"/>
          <w:sz w:val="28"/>
        </w:rPr>
      </w:pPr>
      <w:r>
        <w:rPr>
          <w:rFonts w:ascii="Times New Roman" w:hAnsi="Times New Roman"/>
          <w:color w:val="000000"/>
          <w:sz w:val="28"/>
        </w:rPr>
        <w:t>счет на получение субсидии с нарочным на бумажном носителе;</w:t>
      </w:r>
    </w:p>
    <w:p w14:paraId="B6000000">
      <w:pPr>
        <w:widowControl w:val="0"/>
        <w:spacing w:after="0" w:before="0" w:line="240" w:lineRule="auto"/>
        <w:ind w:firstLine="540"/>
        <w:jc w:val="both"/>
        <w:rPr>
          <w:rFonts w:ascii="Times New Roman" w:hAnsi="Times New Roman"/>
          <w:color w:val="000000"/>
          <w:sz w:val="28"/>
        </w:rPr>
      </w:pPr>
      <w:r>
        <w:rPr>
          <w:rFonts w:ascii="Times New Roman" w:hAnsi="Times New Roman"/>
          <w:color w:val="000000"/>
          <w:sz w:val="28"/>
        </w:rPr>
        <w:t xml:space="preserve">отчет и акт сверки </w:t>
      </w:r>
      <w:r>
        <w:rPr>
          <w:rFonts w:ascii="Times New Roman" w:hAnsi="Times New Roman"/>
          <w:color w:val="000000"/>
          <w:sz w:val="28"/>
        </w:rPr>
        <w:t>о количестве перевезенных пассажиров автобусами с нарочным на бумажном носителе по форме, утвержденной в соглашении.</w:t>
      </w:r>
    </w:p>
    <w:p w14:paraId="B7000000">
      <w:pPr>
        <w:widowControl w:val="0"/>
        <w:spacing w:after="0" w:before="0" w:line="240" w:lineRule="auto"/>
        <w:ind w:firstLine="540"/>
        <w:jc w:val="both"/>
        <w:rPr>
          <w:rFonts w:ascii="Times New Roman" w:hAnsi="Times New Roman"/>
          <w:color w:val="000000"/>
          <w:sz w:val="28"/>
        </w:rPr>
      </w:pPr>
      <w:r>
        <w:rPr>
          <w:rFonts w:ascii="Times New Roman" w:hAnsi="Times New Roman"/>
          <w:color w:val="000000"/>
          <w:sz w:val="28"/>
        </w:rPr>
        <w:t xml:space="preserve">3.9. Перечисление субсидии производится </w:t>
      </w:r>
      <w:r>
        <w:rPr>
          <w:rFonts w:ascii="Times New Roman" w:hAnsi="Times New Roman"/>
          <w:color w:val="000000"/>
          <w:sz w:val="28"/>
        </w:rPr>
        <w:t>Администрацией</w:t>
      </w:r>
      <w:r>
        <w:rPr>
          <w:rFonts w:ascii="Times New Roman" w:hAnsi="Times New Roman"/>
          <w:color w:val="000000"/>
          <w:sz w:val="28"/>
        </w:rPr>
        <w:t xml:space="preserve"> не позднее 10-го рабочего дня, следующего за днем рассмотрения и прове</w:t>
      </w:r>
      <w:r>
        <w:rPr>
          <w:rFonts w:ascii="Times New Roman" w:hAnsi="Times New Roman"/>
          <w:color w:val="000000"/>
          <w:sz w:val="28"/>
        </w:rPr>
        <w:t xml:space="preserve">рки документов, указанных в </w:t>
      </w:r>
      <w:r>
        <w:rPr>
          <w:rFonts w:ascii="Times New Roman" w:hAnsi="Times New Roman"/>
          <w:color w:val="000000"/>
          <w:sz w:val="28"/>
        </w:rPr>
        <w:t>пункте 4.8</w:t>
      </w:r>
      <w:r>
        <w:rPr>
          <w:rFonts w:ascii="Times New Roman" w:hAnsi="Times New Roman"/>
          <w:color w:val="000000"/>
          <w:sz w:val="28"/>
        </w:rPr>
        <w:t xml:space="preserve"> настоящего Порядка и подтверждающих фактически недополученные доходы, на расчетный счет, указанный в соглашениях, открытый получателями субсидий в кредитных организациях.</w:t>
      </w:r>
    </w:p>
    <w:p w14:paraId="B8000000">
      <w:pPr>
        <w:widowControl w:val="0"/>
        <w:spacing w:after="0" w:before="0" w:line="240" w:lineRule="auto"/>
        <w:ind w:firstLine="540"/>
        <w:jc w:val="both"/>
        <w:rPr>
          <w:rFonts w:ascii="Times New Roman" w:hAnsi="Times New Roman"/>
          <w:color w:val="000000"/>
          <w:sz w:val="28"/>
        </w:rPr>
      </w:pPr>
      <w:r>
        <w:rPr>
          <w:rFonts w:ascii="Times New Roman" w:hAnsi="Times New Roman"/>
          <w:color w:val="000000"/>
          <w:sz w:val="28"/>
        </w:rPr>
        <w:t>3.10. Субсидии выплачиваются получателям субсидий согласно фактическому количеству перевезенных пассажиров автобусами</w:t>
      </w:r>
      <w:r>
        <w:rPr>
          <w:rFonts w:ascii="Times New Roman" w:hAnsi="Times New Roman"/>
          <w:color w:val="000000"/>
          <w:sz w:val="28"/>
        </w:rPr>
        <w:t>, на основании данных автоматизированного учета, представленных оператором транспортной платежной системы, умноженному на разницу между тарифами на перевозку 1 пассажира автобусами и экономически о</w:t>
      </w:r>
      <w:r>
        <w:rPr>
          <w:rFonts w:ascii="Times New Roman" w:hAnsi="Times New Roman"/>
          <w:color w:val="000000"/>
          <w:sz w:val="28"/>
        </w:rPr>
        <w:t>боснованными тарифами.</w:t>
      </w:r>
    </w:p>
    <w:p w14:paraId="B9000000">
      <w:pPr>
        <w:widowControl w:val="0"/>
        <w:spacing w:after="0" w:before="0" w:line="240" w:lineRule="auto"/>
        <w:ind w:firstLine="540"/>
        <w:jc w:val="both"/>
        <w:rPr>
          <w:rFonts w:ascii="Times New Roman" w:hAnsi="Times New Roman"/>
          <w:color w:val="000000"/>
          <w:sz w:val="28"/>
        </w:rPr>
      </w:pPr>
    </w:p>
    <w:p w14:paraId="BA000000">
      <w:pPr>
        <w:widowControl w:val="0"/>
        <w:spacing w:after="0" w:before="0" w:line="240" w:lineRule="auto"/>
        <w:ind/>
        <w:jc w:val="center"/>
        <w:outlineLvl w:val="1"/>
        <w:rPr>
          <w:rFonts w:ascii="Times New Roman" w:hAnsi="Times New Roman"/>
          <w:b w:val="0"/>
          <w:color w:val="000000"/>
          <w:sz w:val="28"/>
        </w:rPr>
      </w:pPr>
      <w:r>
        <w:rPr>
          <w:rFonts w:ascii="Times New Roman" w:hAnsi="Times New Roman"/>
          <w:b w:val="0"/>
          <w:color w:val="000000"/>
          <w:sz w:val="28"/>
        </w:rPr>
        <w:t>4. Требования к отчетности</w:t>
      </w:r>
    </w:p>
    <w:p w14:paraId="BB000000">
      <w:pPr>
        <w:widowControl w:val="0"/>
        <w:spacing w:after="0" w:before="0" w:line="240" w:lineRule="auto"/>
        <w:ind w:firstLine="540"/>
        <w:jc w:val="both"/>
        <w:rPr>
          <w:rFonts w:ascii="Times New Roman" w:hAnsi="Times New Roman"/>
          <w:color w:val="000000"/>
          <w:sz w:val="28"/>
        </w:rPr>
      </w:pPr>
    </w:p>
    <w:p w14:paraId="BC000000">
      <w:pPr>
        <w:widowControl w:val="0"/>
        <w:spacing w:after="0" w:before="0" w:line="240" w:lineRule="auto"/>
        <w:ind w:firstLine="540"/>
        <w:jc w:val="both"/>
        <w:rPr>
          <w:rFonts w:ascii="Times New Roman" w:hAnsi="Times New Roman"/>
          <w:color w:val="000000"/>
          <w:sz w:val="28"/>
        </w:rPr>
      </w:pPr>
      <w:r>
        <w:rPr>
          <w:rFonts w:ascii="Times New Roman" w:hAnsi="Times New Roman"/>
          <w:color w:val="000000"/>
          <w:sz w:val="28"/>
        </w:rPr>
        <w:t xml:space="preserve">4.1. Получатели субсидии представляют в </w:t>
      </w:r>
      <w:r>
        <w:rPr>
          <w:rFonts w:ascii="Times New Roman" w:hAnsi="Times New Roman"/>
          <w:color w:val="000000"/>
          <w:sz w:val="28"/>
        </w:rPr>
        <w:t>Администрацию</w:t>
      </w:r>
      <w:r>
        <w:rPr>
          <w:rFonts w:ascii="Times New Roman" w:hAnsi="Times New Roman"/>
          <w:color w:val="000000"/>
          <w:sz w:val="28"/>
        </w:rPr>
        <w:t xml:space="preserve"> не позднее 15 числа месяца, следующего за отчетным, ежемесячные отчеты о количестве перевезенных пассажиров автобусами по форме, утвержде</w:t>
      </w:r>
      <w:r>
        <w:rPr>
          <w:rFonts w:ascii="Times New Roman" w:hAnsi="Times New Roman"/>
          <w:color w:val="000000"/>
          <w:sz w:val="28"/>
        </w:rPr>
        <w:t>нной в соглашении.</w:t>
      </w:r>
    </w:p>
    <w:p w14:paraId="BD000000">
      <w:pPr>
        <w:widowControl w:val="0"/>
        <w:spacing w:after="0" w:before="0" w:line="240" w:lineRule="auto"/>
        <w:ind w:firstLine="540"/>
        <w:jc w:val="both"/>
        <w:rPr>
          <w:rFonts w:ascii="Times New Roman" w:hAnsi="Times New Roman"/>
          <w:color w:val="000000"/>
          <w:sz w:val="28"/>
        </w:rPr>
      </w:pPr>
      <w:r>
        <w:rPr>
          <w:rFonts w:ascii="Times New Roman" w:hAnsi="Times New Roman"/>
          <w:color w:val="000000"/>
          <w:sz w:val="28"/>
        </w:rPr>
        <w:t xml:space="preserve">4.2. </w:t>
      </w:r>
      <w:r>
        <w:rPr>
          <w:rFonts w:ascii="Times New Roman" w:hAnsi="Times New Roman"/>
          <w:color w:val="000000"/>
          <w:sz w:val="28"/>
        </w:rPr>
        <w:t>Администрация</w:t>
      </w:r>
      <w:r>
        <w:rPr>
          <w:rFonts w:ascii="Times New Roman" w:hAnsi="Times New Roman"/>
          <w:color w:val="000000"/>
          <w:sz w:val="28"/>
        </w:rPr>
        <w:t xml:space="preserve"> в течение 5 рабочих дней осуществляет проверку представленных отчетов получателем субсидии на соответствие данным электронных систем учета.</w:t>
      </w:r>
    </w:p>
    <w:p w14:paraId="BE000000">
      <w:pPr>
        <w:widowControl w:val="0"/>
        <w:spacing w:after="0" w:before="0" w:line="240" w:lineRule="auto"/>
        <w:ind w:firstLine="540"/>
        <w:jc w:val="both"/>
        <w:rPr>
          <w:rFonts w:ascii="Times New Roman" w:hAnsi="Times New Roman"/>
          <w:color w:val="000000"/>
          <w:sz w:val="28"/>
        </w:rPr>
      </w:pPr>
      <w:r>
        <w:rPr>
          <w:rFonts w:ascii="Times New Roman" w:hAnsi="Times New Roman"/>
          <w:color w:val="000000"/>
          <w:sz w:val="28"/>
        </w:rPr>
        <w:t xml:space="preserve">В случае наличия замечаний к отчетам </w:t>
      </w:r>
      <w:r>
        <w:rPr>
          <w:rFonts w:ascii="Times New Roman" w:hAnsi="Times New Roman"/>
          <w:color w:val="000000"/>
          <w:sz w:val="28"/>
        </w:rPr>
        <w:t>Администрация</w:t>
      </w:r>
      <w:r>
        <w:rPr>
          <w:rFonts w:ascii="Times New Roman" w:hAnsi="Times New Roman"/>
          <w:color w:val="000000"/>
          <w:sz w:val="28"/>
        </w:rPr>
        <w:t xml:space="preserve"> в течение 5 рабочих дней уведом</w:t>
      </w:r>
      <w:r>
        <w:rPr>
          <w:rFonts w:ascii="Times New Roman" w:hAnsi="Times New Roman"/>
          <w:color w:val="000000"/>
          <w:sz w:val="28"/>
        </w:rPr>
        <w:t>ляет получателя субсидии о необходимости их уточнения.</w:t>
      </w:r>
    </w:p>
    <w:p w14:paraId="BF000000">
      <w:pPr>
        <w:widowControl w:val="0"/>
        <w:spacing w:after="0" w:before="0" w:line="240" w:lineRule="auto"/>
        <w:ind w:firstLine="540"/>
        <w:jc w:val="both"/>
        <w:rPr>
          <w:rFonts w:ascii="Times New Roman" w:hAnsi="Times New Roman"/>
          <w:color w:val="000000"/>
          <w:sz w:val="28"/>
        </w:rPr>
      </w:pPr>
    </w:p>
    <w:p w14:paraId="C0000000">
      <w:pPr>
        <w:widowControl w:val="0"/>
        <w:spacing w:after="0" w:before="0" w:line="240" w:lineRule="auto"/>
        <w:ind/>
        <w:jc w:val="center"/>
        <w:outlineLvl w:val="1"/>
        <w:rPr>
          <w:rFonts w:ascii="Times New Roman" w:hAnsi="Times New Roman"/>
          <w:b w:val="0"/>
          <w:color w:val="000000"/>
          <w:sz w:val="28"/>
        </w:rPr>
      </w:pPr>
      <w:r>
        <w:rPr>
          <w:rFonts w:ascii="Times New Roman" w:hAnsi="Times New Roman"/>
          <w:b w:val="0"/>
          <w:color w:val="000000"/>
          <w:sz w:val="28"/>
        </w:rPr>
        <w:t>5. Требования об осуществлении контроля</w:t>
      </w:r>
    </w:p>
    <w:p w14:paraId="C1000000">
      <w:pPr>
        <w:widowControl w:val="0"/>
        <w:spacing w:after="0" w:before="0" w:line="240" w:lineRule="auto"/>
        <w:ind/>
        <w:jc w:val="center"/>
        <w:rPr>
          <w:rFonts w:ascii="Times New Roman" w:hAnsi="Times New Roman"/>
          <w:b w:val="0"/>
          <w:color w:val="000000"/>
          <w:sz w:val="28"/>
        </w:rPr>
      </w:pPr>
      <w:r>
        <w:rPr>
          <w:rFonts w:ascii="Times New Roman" w:hAnsi="Times New Roman"/>
          <w:b w:val="0"/>
          <w:color w:val="000000"/>
          <w:sz w:val="28"/>
        </w:rPr>
        <w:t>за соблюдением условий и порядка предоставления субсидий</w:t>
      </w:r>
    </w:p>
    <w:p w14:paraId="C2000000">
      <w:pPr>
        <w:widowControl w:val="0"/>
        <w:spacing w:after="0" w:before="0" w:line="240" w:lineRule="auto"/>
        <w:ind/>
        <w:jc w:val="center"/>
        <w:rPr>
          <w:rFonts w:ascii="Times New Roman" w:hAnsi="Times New Roman"/>
          <w:b w:val="0"/>
          <w:color w:val="000000"/>
          <w:sz w:val="28"/>
        </w:rPr>
      </w:pPr>
      <w:r>
        <w:rPr>
          <w:rFonts w:ascii="Times New Roman" w:hAnsi="Times New Roman"/>
          <w:b w:val="0"/>
          <w:color w:val="000000"/>
          <w:sz w:val="28"/>
        </w:rPr>
        <w:t>и ответственности за их нарушение</w:t>
      </w:r>
    </w:p>
    <w:p w14:paraId="C3000000">
      <w:pPr>
        <w:widowControl w:val="0"/>
        <w:spacing w:after="0" w:before="0" w:line="240" w:lineRule="auto"/>
        <w:ind w:firstLine="540"/>
        <w:jc w:val="both"/>
        <w:rPr>
          <w:rFonts w:ascii="Times New Roman" w:hAnsi="Times New Roman"/>
          <w:color w:val="000000"/>
          <w:sz w:val="28"/>
        </w:rPr>
      </w:pPr>
    </w:p>
    <w:p w14:paraId="C4000000">
      <w:pPr>
        <w:widowControl w:val="0"/>
        <w:spacing w:after="0" w:before="0" w:line="240" w:lineRule="auto"/>
        <w:ind w:firstLine="540"/>
        <w:jc w:val="both"/>
        <w:rPr>
          <w:rFonts w:ascii="Times New Roman" w:hAnsi="Times New Roman"/>
          <w:color w:val="000000"/>
          <w:sz w:val="28"/>
        </w:rPr>
      </w:pPr>
      <w:r>
        <w:rPr>
          <w:rFonts w:ascii="Times New Roman" w:hAnsi="Times New Roman"/>
          <w:color w:val="000000"/>
          <w:sz w:val="28"/>
        </w:rPr>
        <w:t>5.1. Проверка соблюдения получателями субсидий порядка и условий пре</w:t>
      </w:r>
      <w:r>
        <w:rPr>
          <w:rFonts w:ascii="Times New Roman" w:hAnsi="Times New Roman"/>
          <w:color w:val="000000"/>
          <w:sz w:val="28"/>
        </w:rPr>
        <w:t xml:space="preserve">доставления субсидий осуществляется </w:t>
      </w:r>
      <w:r>
        <w:rPr>
          <w:rFonts w:ascii="Times New Roman" w:hAnsi="Times New Roman"/>
          <w:color w:val="000000"/>
          <w:sz w:val="28"/>
        </w:rPr>
        <w:t>Администрацией</w:t>
      </w:r>
      <w:r>
        <w:rPr>
          <w:rFonts w:ascii="Times New Roman" w:hAnsi="Times New Roman"/>
          <w:color w:val="000000"/>
          <w:sz w:val="28"/>
        </w:rPr>
        <w:t xml:space="preserve">, а также органами муниципального финансового контроля в соответствии со </w:t>
      </w:r>
      <w:r>
        <w:rPr>
          <w:rFonts w:ascii="Times New Roman" w:hAnsi="Times New Roman"/>
          <w:color w:val="000000"/>
          <w:sz w:val="28"/>
        </w:rPr>
        <w:fldChar w:fldCharType="begin"/>
      </w:r>
      <w:r>
        <w:rPr>
          <w:rFonts w:ascii="Times New Roman" w:hAnsi="Times New Roman"/>
          <w:color w:val="000000"/>
          <w:sz w:val="28"/>
        </w:rPr>
        <w:instrText>HYPERLINK "https://login.consultant.ru/link/?req=doc&amp;base=LAW&amp;n=500021&amp;dst=3704"</w:instrText>
      </w:r>
      <w:r>
        <w:rPr>
          <w:rFonts w:ascii="Times New Roman" w:hAnsi="Times New Roman"/>
          <w:color w:val="000000"/>
          <w:sz w:val="28"/>
        </w:rPr>
        <w:fldChar w:fldCharType="separate"/>
      </w:r>
      <w:r>
        <w:rPr>
          <w:rFonts w:ascii="Times New Roman" w:hAnsi="Times New Roman"/>
          <w:color w:val="000000"/>
          <w:sz w:val="28"/>
        </w:rPr>
        <w:t>статьями 268.1</w:t>
      </w:r>
      <w:r>
        <w:rPr>
          <w:rFonts w:ascii="Times New Roman" w:hAnsi="Times New Roman"/>
          <w:color w:val="000000"/>
          <w:sz w:val="28"/>
        </w:rPr>
        <w:fldChar w:fldCharType="end"/>
      </w:r>
      <w:r>
        <w:rPr>
          <w:rFonts w:ascii="Times New Roman" w:hAnsi="Times New Roman"/>
          <w:color w:val="000000"/>
          <w:sz w:val="28"/>
        </w:rPr>
        <w:t xml:space="preserve"> и </w:t>
      </w:r>
      <w:r>
        <w:rPr>
          <w:rFonts w:ascii="Times New Roman" w:hAnsi="Times New Roman"/>
          <w:color w:val="000000"/>
          <w:sz w:val="28"/>
        </w:rPr>
        <w:fldChar w:fldCharType="begin"/>
      </w:r>
      <w:r>
        <w:rPr>
          <w:rFonts w:ascii="Times New Roman" w:hAnsi="Times New Roman"/>
          <w:color w:val="000000"/>
          <w:sz w:val="28"/>
        </w:rPr>
        <w:instrText>HYPERLINK "https://login.consultant.ru/link/?req=doc&amp;base=LAW&amp;n=500021&amp;dst=3722"</w:instrText>
      </w:r>
      <w:r>
        <w:rPr>
          <w:rFonts w:ascii="Times New Roman" w:hAnsi="Times New Roman"/>
          <w:color w:val="000000"/>
          <w:sz w:val="28"/>
        </w:rPr>
        <w:fldChar w:fldCharType="separate"/>
      </w:r>
      <w:r>
        <w:rPr>
          <w:rFonts w:ascii="Times New Roman" w:hAnsi="Times New Roman"/>
          <w:color w:val="000000"/>
          <w:sz w:val="28"/>
        </w:rPr>
        <w:t>269.2</w:t>
      </w:r>
      <w:r>
        <w:rPr>
          <w:rFonts w:ascii="Times New Roman" w:hAnsi="Times New Roman"/>
          <w:color w:val="000000"/>
          <w:sz w:val="28"/>
        </w:rPr>
        <w:fldChar w:fldCharType="end"/>
      </w:r>
      <w:r>
        <w:rPr>
          <w:rFonts w:ascii="Times New Roman" w:hAnsi="Times New Roman"/>
          <w:color w:val="000000"/>
          <w:sz w:val="28"/>
        </w:rPr>
        <w:t xml:space="preserve"> Бюджетного кодекса Российской Федерации.</w:t>
      </w:r>
    </w:p>
    <w:p w14:paraId="C5000000">
      <w:pPr>
        <w:widowControl w:val="0"/>
        <w:spacing w:after="0" w:before="0" w:line="240" w:lineRule="auto"/>
        <w:ind w:firstLine="540"/>
        <w:jc w:val="both"/>
        <w:rPr>
          <w:rFonts w:ascii="Times New Roman" w:hAnsi="Times New Roman"/>
          <w:color w:val="000000"/>
          <w:sz w:val="28"/>
        </w:rPr>
      </w:pPr>
      <w:r>
        <w:rPr>
          <w:rFonts w:ascii="Times New Roman" w:hAnsi="Times New Roman"/>
          <w:color w:val="000000"/>
          <w:sz w:val="28"/>
        </w:rPr>
        <w:t>5.2. В случае нарушения получателями субсидий условий, установленных при предоставлении субсидий, выявленного, в том числе, по факт</w:t>
      </w:r>
      <w:r>
        <w:rPr>
          <w:rFonts w:ascii="Times New Roman" w:hAnsi="Times New Roman"/>
          <w:color w:val="000000"/>
          <w:sz w:val="28"/>
        </w:rPr>
        <w:t xml:space="preserve">ам проверок, проведенных </w:t>
      </w:r>
      <w:r>
        <w:rPr>
          <w:rFonts w:ascii="Times New Roman" w:hAnsi="Times New Roman"/>
          <w:color w:val="000000"/>
          <w:sz w:val="28"/>
        </w:rPr>
        <w:t>Администрацией</w:t>
      </w:r>
      <w:r>
        <w:rPr>
          <w:rFonts w:ascii="Times New Roman" w:hAnsi="Times New Roman"/>
          <w:color w:val="000000"/>
          <w:sz w:val="28"/>
        </w:rPr>
        <w:t xml:space="preserve"> и органами муниципального финансового контроля, получатели субсидий осуществляют возврат средств субсидий в бюджет города Батайска в течение 30 рабочих дней.</w:t>
      </w:r>
    </w:p>
    <w:p w14:paraId="C6000000">
      <w:pPr>
        <w:widowControl w:val="0"/>
        <w:spacing w:after="0" w:before="0" w:line="240" w:lineRule="auto"/>
        <w:ind w:firstLine="540"/>
        <w:jc w:val="both"/>
        <w:rPr>
          <w:rFonts w:ascii="Times New Roman" w:hAnsi="Times New Roman"/>
          <w:sz w:val="28"/>
        </w:rPr>
      </w:pPr>
      <w:r>
        <w:rPr>
          <w:rFonts w:ascii="Times New Roman" w:hAnsi="Times New Roman"/>
          <w:color w:val="000000"/>
          <w:sz w:val="28"/>
        </w:rPr>
        <w:t>5.3. В случае неперечисления полу</w:t>
      </w:r>
      <w:r>
        <w:rPr>
          <w:rFonts w:ascii="Times New Roman" w:hAnsi="Times New Roman"/>
          <w:color w:val="000000"/>
          <w:sz w:val="28"/>
        </w:rPr>
        <w:t xml:space="preserve">чателем субсидии полученной субсидии в бюджет города Батайска основаниям и в срок, установленный </w:t>
      </w:r>
      <w:r>
        <w:rPr>
          <w:rFonts w:ascii="Times New Roman" w:hAnsi="Times New Roman"/>
          <w:color w:val="000000"/>
          <w:sz w:val="28"/>
        </w:rPr>
        <w:t>пунктом 4.2</w:t>
      </w:r>
      <w:r>
        <w:rPr>
          <w:rFonts w:ascii="Times New Roman" w:hAnsi="Times New Roman"/>
          <w:color w:val="000000"/>
          <w:sz w:val="28"/>
        </w:rPr>
        <w:t xml:space="preserve"> настоящего раздела, указанные средства взыскиваются </w:t>
      </w:r>
      <w:r>
        <w:rPr>
          <w:rFonts w:ascii="Times New Roman" w:hAnsi="Times New Roman"/>
          <w:color w:val="000000"/>
          <w:sz w:val="28"/>
        </w:rPr>
        <w:t>Администрацией</w:t>
      </w:r>
      <w:r>
        <w:rPr>
          <w:rFonts w:ascii="Times New Roman" w:hAnsi="Times New Roman"/>
          <w:color w:val="000000"/>
          <w:sz w:val="28"/>
        </w:rPr>
        <w:t xml:space="preserve"> в судебном порядке.</w:t>
      </w:r>
    </w:p>
    <w:p w14:paraId="C7000000">
      <w:pPr>
        <w:widowControl w:val="0"/>
        <w:spacing w:after="0" w:before="0" w:line="240" w:lineRule="auto"/>
        <w:ind w:firstLine="540"/>
        <w:jc w:val="both"/>
        <w:rPr>
          <w:rFonts w:ascii="Times New Roman" w:hAnsi="Times New Roman"/>
          <w:sz w:val="28"/>
        </w:rPr>
      </w:pPr>
    </w:p>
    <w:p w14:paraId="C8000000">
      <w:pPr>
        <w:spacing w:before="0" w:line="240" w:lineRule="auto"/>
        <w:ind w:firstLine="720"/>
        <w:jc w:val="both"/>
      </w:pPr>
    </w:p>
    <w:p w14:paraId="C9000000">
      <w:pPr>
        <w:pStyle w:val="Style_2"/>
        <w:widowControl w:val="1"/>
        <w:spacing w:before="0" w:line="240" w:lineRule="auto"/>
        <w:ind w:firstLine="0" w:right="0"/>
        <w:jc w:val="both"/>
        <w:rPr>
          <w:rFonts w:ascii="Times New Roman" w:hAnsi="Times New Roman"/>
          <w:sz w:val="28"/>
        </w:rPr>
      </w:pPr>
      <w:r>
        <w:rPr>
          <w:rFonts w:ascii="Times New Roman" w:hAnsi="Times New Roman"/>
          <w:sz w:val="28"/>
        </w:rPr>
        <w:t>Начальник общего отдела</w:t>
      </w:r>
    </w:p>
    <w:p w14:paraId="CA000000">
      <w:pPr>
        <w:spacing w:before="0" w:line="240" w:lineRule="auto"/>
        <w:ind/>
        <w:jc w:val="both"/>
      </w:pPr>
      <w:r>
        <w:t>Администрации города Батайска</w:t>
      </w:r>
      <w:r>
        <w:tab/>
      </w:r>
      <w:r>
        <w:tab/>
      </w:r>
      <w:r>
        <w:tab/>
      </w:r>
      <w:r>
        <w:tab/>
      </w:r>
      <w:r>
        <w:t xml:space="preserve">         В.С. </w:t>
      </w:r>
      <w:r>
        <w:t>Мирошникова</w:t>
      </w:r>
    </w:p>
    <w:p w14:paraId="CB000000">
      <w:pPr>
        <w:spacing w:before="0" w:line="240" w:lineRule="auto"/>
        <w:ind/>
        <w:jc w:val="both"/>
      </w:pPr>
    </w:p>
    <w:p w14:paraId="CC000000">
      <w:pPr>
        <w:sectPr>
          <w:headerReference r:id="rId1" w:type="default"/>
          <w:pgSz w:h="16838" w:orient="portrait" w:w="11906"/>
          <w:pgMar w:bottom="1134" w:footer="709" w:gutter="0" w:header="709" w:left="1701" w:right="851" w:top="1134"/>
          <w:titlePg/>
        </w:sectPr>
      </w:pPr>
    </w:p>
    <w:p w14:paraId="CD000000">
      <w:pPr>
        <w:pStyle w:val="Style_3"/>
        <w:ind w:left="4253"/>
        <w:jc w:val="center"/>
        <w:outlineLvl w:val="1"/>
        <w:rPr>
          <w:rFonts w:ascii="Times New Roman" w:hAnsi="Times New Roman"/>
          <w:sz w:val="28"/>
        </w:rPr>
      </w:pPr>
      <w:r>
        <w:rPr>
          <w:rFonts w:ascii="Times New Roman" w:hAnsi="Times New Roman"/>
          <w:sz w:val="28"/>
        </w:rPr>
        <w:t xml:space="preserve">Приложение </w:t>
      </w:r>
      <w:r>
        <w:rPr>
          <w:rFonts w:ascii="Times New Roman" w:hAnsi="Times New Roman"/>
          <w:sz w:val="28"/>
        </w:rPr>
        <w:t>№</w:t>
      </w:r>
      <w:r>
        <w:rPr>
          <w:rFonts w:ascii="Times New Roman" w:hAnsi="Times New Roman"/>
          <w:sz w:val="28"/>
        </w:rPr>
        <w:t xml:space="preserve"> 1</w:t>
      </w:r>
    </w:p>
    <w:p w14:paraId="CE000000">
      <w:pPr>
        <w:pStyle w:val="Style_3"/>
        <w:ind w:left="4253"/>
        <w:jc w:val="center"/>
        <w:rPr>
          <w:rFonts w:ascii="Times New Roman" w:hAnsi="Times New Roman"/>
          <w:color w:val="000000"/>
          <w:sz w:val="28"/>
        </w:rPr>
      </w:pPr>
      <w:r>
        <w:rPr>
          <w:rFonts w:ascii="Times New Roman" w:hAnsi="Times New Roman"/>
          <w:sz w:val="28"/>
        </w:rPr>
        <w:t>к П</w:t>
      </w:r>
      <w:r>
        <w:rPr>
          <w:rFonts w:ascii="Times New Roman" w:hAnsi="Times New Roman"/>
          <w:sz w:val="28"/>
        </w:rPr>
        <w:t>орядку</w:t>
      </w:r>
      <w:r>
        <w:rPr>
          <w:rFonts w:ascii="Times New Roman" w:hAnsi="Times New Roman"/>
          <w:sz w:val="28"/>
        </w:rPr>
        <w:t xml:space="preserve"> </w:t>
      </w:r>
      <w:r>
        <w:rPr>
          <w:rFonts w:ascii="Times New Roman" w:hAnsi="Times New Roman"/>
          <w:b w:val="0"/>
          <w:sz w:val="28"/>
        </w:rPr>
        <w:t>предоставления субсиди</w:t>
      </w:r>
      <w:r>
        <w:rPr>
          <w:rFonts w:ascii="Times New Roman" w:hAnsi="Times New Roman"/>
          <w:b w:val="0"/>
          <w:sz w:val="28"/>
        </w:rPr>
        <w:t>и</w:t>
      </w:r>
      <w:r>
        <w:rPr>
          <w:rFonts w:ascii="Times New Roman" w:hAnsi="Times New Roman"/>
          <w:b w:val="0"/>
          <w:sz w:val="28"/>
        </w:rPr>
        <w:t xml:space="preserve"> юридическим лицам (кроме некоммерческих организаций), индивидуальным предпринимателям – производителям товаров, работ, услуг и субсидии юридическим лицам, индивидуальным предпринимателям,</w:t>
      </w:r>
      <w:r>
        <w:rPr>
          <w:rFonts w:ascii="Times New Roman" w:hAnsi="Times New Roman"/>
          <w:b w:val="0"/>
          <w:sz w:val="28"/>
        </w:rPr>
        <w:t xml:space="preserve"> </w:t>
      </w:r>
      <w:r>
        <w:rPr>
          <w:rFonts w:ascii="Times New Roman" w:hAnsi="Times New Roman"/>
          <w:b w:val="0"/>
          <w:sz w:val="28"/>
        </w:rPr>
        <w:t>осуществляющим регулярные перевозки пассажиров и багажа автомобильным транспортом</w:t>
      </w:r>
      <w:r>
        <w:rPr>
          <w:rFonts w:ascii="Times New Roman" w:hAnsi="Times New Roman"/>
          <w:b w:val="0"/>
          <w:sz w:val="28"/>
        </w:rPr>
        <w:t xml:space="preserve"> по муниципальным маршрутам города Батайска на компенсацию </w:t>
      </w:r>
      <w:r>
        <w:rPr>
          <w:rFonts w:ascii="Times New Roman" w:hAnsi="Times New Roman"/>
          <w:b w:val="0"/>
          <w:sz w:val="28"/>
        </w:rPr>
        <w:t>выпадающих доходов из-за разницы между тарифом на перевозку пассажиров и багажа и экономически обоснованным тарифом</w:t>
      </w:r>
    </w:p>
    <w:p w14:paraId="CF000000">
      <w:pPr>
        <w:pStyle w:val="Style_3"/>
        <w:ind/>
        <w:jc w:val="both"/>
        <w:rPr>
          <w:rFonts w:ascii="Times New Roman" w:hAnsi="Times New Roman"/>
          <w:sz w:val="28"/>
        </w:rPr>
      </w:pPr>
    </w:p>
    <w:p w14:paraId="D0000000">
      <w:pPr>
        <w:ind/>
        <w:jc w:val="center"/>
      </w:pPr>
      <w:r>
        <w:t>ЗАЯВКА</w:t>
      </w:r>
    </w:p>
    <w:p w14:paraId="D1000000">
      <w:pPr>
        <w:ind/>
        <w:jc w:val="center"/>
      </w:pPr>
      <w:r>
        <w:t>на участие в отборе на предоставление субсидии</w:t>
      </w:r>
    </w:p>
    <w:tbl>
      <w:tblPr>
        <w:tblStyle w:val="Style_4"/>
        <w:tblW w:type="auto" w:w="0"/>
        <w:tblInd w:type="dxa" w:w="250"/>
        <w:tblLayout w:type="fixed"/>
      </w:tblPr>
      <w:tblGrid>
        <w:gridCol w:w="3032"/>
        <w:gridCol w:w="1575"/>
        <w:gridCol w:w="4607"/>
      </w:tblGrid>
      <w:tr>
        <w:trPr>
          <w:trHeight w:hRule="atLeast" w:val="238"/>
        </w:trPr>
        <w:tc>
          <w:tcPr>
            <w:tcW w:type="dxa" w:w="9214"/>
            <w:gridSpan w:val="3"/>
          </w:tcPr>
          <w:p w14:paraId="D2000000">
            <w:pPr>
              <w:ind/>
              <w:jc w:val="both"/>
            </w:pPr>
          </w:p>
          <w:p w14:paraId="D3000000">
            <w:pPr>
              <w:ind/>
              <w:jc w:val="center"/>
            </w:pPr>
            <w:r>
              <w:t>1. Общая информация об организации</w:t>
            </w:r>
          </w:p>
          <w:p w14:paraId="D4000000">
            <w:pPr>
              <w:ind/>
              <w:jc w:val="both"/>
            </w:pPr>
          </w:p>
        </w:tc>
      </w:tr>
      <w:tr>
        <w:trPr>
          <w:trHeight w:hRule="atLeast" w:val="287"/>
        </w:trPr>
        <w:tc>
          <w:tcPr>
            <w:tcW w:type="dxa" w:w="3032"/>
            <w:tcBorders>
              <w:right w:color="000000" w:sz="4" w:val="single"/>
            </w:tcBorders>
            <w:vAlign w:val="center"/>
          </w:tcPr>
          <w:p w14:paraId="D5000000">
            <w:r>
              <w:t xml:space="preserve">Полное наименование организации </w:t>
            </w:r>
          </w:p>
        </w:tc>
        <w:tc>
          <w:tcPr>
            <w:tcW w:type="dxa" w:w="6182"/>
            <w:gridSpan w:val="2"/>
            <w:tcBorders>
              <w:top w:color="000000" w:sz="4" w:val="single"/>
              <w:left w:color="000000" w:sz="4" w:val="single"/>
              <w:bottom w:color="000000" w:sz="4" w:val="single"/>
              <w:right w:color="000000" w:sz="4" w:val="single"/>
            </w:tcBorders>
            <w:vAlign w:val="center"/>
          </w:tcPr>
          <w:p w14:paraId="D6000000">
            <w:pPr>
              <w:spacing w:after="200" w:line="276" w:lineRule="auto"/>
              <w:ind/>
              <w:jc w:val="center"/>
              <w:rPr>
                <w:sz w:val="22"/>
              </w:rPr>
            </w:pPr>
          </w:p>
          <w:p w14:paraId="D7000000">
            <w:pPr>
              <w:spacing w:after="200" w:line="276" w:lineRule="auto"/>
              <w:ind/>
              <w:jc w:val="center"/>
              <w:rPr>
                <w:sz w:val="22"/>
              </w:rPr>
            </w:pPr>
          </w:p>
        </w:tc>
      </w:tr>
      <w:tr>
        <w:trPr>
          <w:trHeight w:hRule="atLeast" w:val="287"/>
        </w:trPr>
        <w:tc>
          <w:tcPr>
            <w:tcW w:type="dxa" w:w="3032"/>
            <w:vAlign w:val="center"/>
          </w:tcPr>
          <w:p w14:paraId="D8000000">
            <w:pPr>
              <w:ind/>
              <w:jc w:val="both"/>
            </w:pPr>
          </w:p>
        </w:tc>
        <w:tc>
          <w:tcPr>
            <w:tcW w:type="dxa" w:w="6182"/>
            <w:gridSpan w:val="2"/>
            <w:tcBorders>
              <w:top w:color="000000" w:sz="4" w:val="single"/>
              <w:bottom w:color="000000" w:sz="4" w:val="single"/>
            </w:tcBorders>
            <w:vAlign w:val="center"/>
          </w:tcPr>
          <w:p w14:paraId="D9000000">
            <w:pPr>
              <w:spacing w:after="200" w:line="276" w:lineRule="auto"/>
              <w:ind/>
              <w:jc w:val="center"/>
              <w:rPr>
                <w:i w:val="1"/>
                <w:sz w:val="22"/>
              </w:rPr>
            </w:pPr>
            <w:r>
              <w:rPr>
                <w:i w:val="1"/>
                <w:sz w:val="18"/>
              </w:rPr>
              <w:t>(в соответствии со свидетельством о внесении записи в Единый государственный реестр юридических лиц)</w:t>
            </w:r>
          </w:p>
        </w:tc>
      </w:tr>
      <w:tr>
        <w:trPr>
          <w:trHeight w:hRule="atLeast" w:val="287"/>
        </w:trPr>
        <w:tc>
          <w:tcPr>
            <w:tcW w:type="dxa" w:w="3032"/>
            <w:tcBorders>
              <w:right w:color="000000" w:sz="4" w:val="single"/>
            </w:tcBorders>
            <w:vAlign w:val="center"/>
          </w:tcPr>
          <w:p w14:paraId="DA000000">
            <w:r>
              <w:t>Организационно-правовая форма организации</w:t>
            </w:r>
          </w:p>
        </w:tc>
        <w:tc>
          <w:tcPr>
            <w:tcW w:type="dxa" w:w="6182"/>
            <w:gridSpan w:val="2"/>
            <w:tcBorders>
              <w:top w:color="000000" w:sz="4" w:val="single"/>
              <w:left w:color="000000" w:sz="4" w:val="single"/>
              <w:bottom w:color="000000" w:sz="4" w:val="single"/>
              <w:right w:color="000000" w:sz="4" w:val="single"/>
            </w:tcBorders>
            <w:vAlign w:val="center"/>
          </w:tcPr>
          <w:p w14:paraId="DB000000">
            <w:pPr>
              <w:spacing w:after="200" w:line="276" w:lineRule="auto"/>
              <w:ind/>
              <w:jc w:val="center"/>
              <w:rPr>
                <w:sz w:val="22"/>
              </w:rPr>
            </w:pPr>
          </w:p>
          <w:p w14:paraId="DC000000">
            <w:pPr>
              <w:spacing w:after="200" w:line="276" w:lineRule="auto"/>
              <w:ind/>
              <w:jc w:val="center"/>
              <w:rPr>
                <w:sz w:val="22"/>
              </w:rPr>
            </w:pPr>
          </w:p>
        </w:tc>
      </w:tr>
      <w:tr>
        <w:trPr>
          <w:trHeight w:hRule="atLeast" w:val="277"/>
        </w:trPr>
        <w:tc>
          <w:tcPr>
            <w:tcW w:type="dxa" w:w="3032"/>
            <w:vAlign w:val="center"/>
          </w:tcPr>
          <w:p w14:paraId="DD000000">
            <w:pPr>
              <w:ind/>
              <w:jc w:val="both"/>
              <w:rPr>
                <w:sz w:val="14"/>
              </w:rPr>
            </w:pPr>
          </w:p>
        </w:tc>
        <w:tc>
          <w:tcPr>
            <w:tcW w:type="dxa" w:w="6182"/>
            <w:gridSpan w:val="2"/>
            <w:tcBorders>
              <w:top w:color="000000" w:sz="4" w:val="single"/>
            </w:tcBorders>
            <w:vAlign w:val="center"/>
          </w:tcPr>
          <w:p w14:paraId="DE000000">
            <w:pPr>
              <w:spacing w:after="200" w:line="276" w:lineRule="auto"/>
              <w:ind/>
              <w:jc w:val="center"/>
              <w:rPr>
                <w:i w:val="1"/>
                <w:sz w:val="14"/>
              </w:rPr>
            </w:pPr>
          </w:p>
        </w:tc>
      </w:tr>
      <w:tr>
        <w:trPr>
          <w:trHeight w:hRule="atLeast" w:val="287"/>
        </w:trPr>
        <w:tc>
          <w:tcPr>
            <w:tcW w:type="dxa" w:w="3032"/>
            <w:tcBorders>
              <w:right w:color="000000" w:sz="4" w:val="single"/>
            </w:tcBorders>
            <w:vAlign w:val="center"/>
          </w:tcPr>
          <w:p w14:paraId="DF000000">
            <w:r>
              <w:t>Основной государственный</w:t>
            </w:r>
            <w:r>
              <w:t xml:space="preserve"> </w:t>
            </w:r>
            <w:r>
              <w:t>регистрационный номер организации (ОГРН)</w:t>
            </w:r>
          </w:p>
        </w:tc>
        <w:tc>
          <w:tcPr>
            <w:tcW w:type="dxa" w:w="6182"/>
            <w:gridSpan w:val="2"/>
            <w:tcBorders>
              <w:top w:color="000000" w:sz="4" w:val="single"/>
              <w:left w:color="000000" w:sz="4" w:val="single"/>
              <w:bottom w:color="000000" w:sz="4" w:val="single"/>
              <w:right w:color="000000" w:sz="4" w:val="single"/>
            </w:tcBorders>
            <w:vAlign w:val="center"/>
          </w:tcPr>
          <w:p w14:paraId="E0000000">
            <w:pPr>
              <w:spacing w:after="200" w:line="276" w:lineRule="auto"/>
              <w:ind/>
              <w:jc w:val="center"/>
              <w:rPr>
                <w:sz w:val="22"/>
              </w:rPr>
            </w:pPr>
          </w:p>
          <w:p w14:paraId="E1000000">
            <w:pPr>
              <w:spacing w:after="200" w:line="276" w:lineRule="auto"/>
              <w:ind/>
              <w:jc w:val="center"/>
              <w:rPr>
                <w:sz w:val="22"/>
              </w:rPr>
            </w:pPr>
          </w:p>
        </w:tc>
      </w:tr>
      <w:tr>
        <w:trPr>
          <w:trHeight w:hRule="atLeast" w:val="193"/>
        </w:trPr>
        <w:tc>
          <w:tcPr>
            <w:tcW w:type="dxa" w:w="3032"/>
            <w:vAlign w:val="center"/>
          </w:tcPr>
          <w:p w14:paraId="E2000000">
            <w:pPr>
              <w:spacing w:after="200" w:line="276" w:lineRule="auto"/>
              <w:ind/>
              <w:jc w:val="both"/>
              <w:rPr>
                <w:sz w:val="14"/>
              </w:rPr>
            </w:pPr>
          </w:p>
        </w:tc>
        <w:tc>
          <w:tcPr>
            <w:tcW w:type="dxa" w:w="6182"/>
            <w:gridSpan w:val="2"/>
            <w:tcBorders>
              <w:top w:color="000000" w:sz="4" w:val="single"/>
            </w:tcBorders>
            <w:vAlign w:val="center"/>
          </w:tcPr>
          <w:p w14:paraId="E3000000">
            <w:pPr>
              <w:spacing w:after="200" w:line="276" w:lineRule="auto"/>
              <w:ind/>
              <w:jc w:val="center"/>
              <w:rPr>
                <w:i w:val="1"/>
                <w:sz w:val="14"/>
              </w:rPr>
            </w:pPr>
          </w:p>
        </w:tc>
      </w:tr>
      <w:tr>
        <w:trPr>
          <w:trHeight w:hRule="atLeast" w:val="287"/>
        </w:trPr>
        <w:tc>
          <w:tcPr>
            <w:tcW w:type="dxa" w:w="3032"/>
            <w:tcBorders>
              <w:right w:color="000000" w:sz="4" w:val="single"/>
            </w:tcBorders>
            <w:vAlign w:val="center"/>
          </w:tcPr>
          <w:p w14:paraId="E4000000">
            <w:r>
              <w:t>Код по общероссийскому классификатору предприятий и организаций (ОКПО)</w:t>
            </w:r>
          </w:p>
        </w:tc>
        <w:tc>
          <w:tcPr>
            <w:tcW w:type="dxa" w:w="6182"/>
            <w:gridSpan w:val="2"/>
            <w:tcBorders>
              <w:top w:color="000000" w:sz="4" w:val="single"/>
              <w:left w:color="000000" w:sz="4" w:val="single"/>
              <w:bottom w:color="000000" w:sz="4" w:val="single"/>
              <w:right w:color="000000" w:sz="4" w:val="single"/>
            </w:tcBorders>
            <w:vAlign w:val="center"/>
          </w:tcPr>
          <w:p w14:paraId="E5000000">
            <w:pPr>
              <w:spacing w:after="200" w:line="276" w:lineRule="auto"/>
              <w:ind/>
              <w:jc w:val="center"/>
              <w:rPr>
                <w:sz w:val="22"/>
              </w:rPr>
            </w:pPr>
          </w:p>
          <w:p w14:paraId="E6000000">
            <w:pPr>
              <w:spacing w:after="200" w:line="276" w:lineRule="auto"/>
              <w:ind/>
              <w:jc w:val="center"/>
              <w:rPr>
                <w:sz w:val="22"/>
              </w:rPr>
            </w:pPr>
          </w:p>
        </w:tc>
      </w:tr>
      <w:tr>
        <w:trPr>
          <w:trHeight w:hRule="atLeast" w:val="193"/>
        </w:trPr>
        <w:tc>
          <w:tcPr>
            <w:tcW w:type="dxa" w:w="4607"/>
            <w:gridSpan w:val="2"/>
            <w:vAlign w:val="center"/>
          </w:tcPr>
          <w:p w14:paraId="E7000000">
            <w:pPr>
              <w:rPr>
                <w:sz w:val="14"/>
              </w:rPr>
            </w:pPr>
          </w:p>
        </w:tc>
        <w:tc>
          <w:tcPr>
            <w:tcW w:type="dxa" w:w="4607"/>
            <w:tcBorders>
              <w:top w:color="000000" w:sz="4" w:val="single"/>
              <w:bottom w:color="000000" w:sz="4" w:val="single"/>
            </w:tcBorders>
            <w:vAlign w:val="center"/>
          </w:tcPr>
          <w:p w14:paraId="E8000000">
            <w:pPr>
              <w:spacing w:after="200" w:line="276" w:lineRule="auto"/>
              <w:ind/>
              <w:jc w:val="center"/>
              <w:rPr>
                <w:i w:val="1"/>
                <w:sz w:val="14"/>
              </w:rPr>
            </w:pPr>
          </w:p>
        </w:tc>
      </w:tr>
      <w:tr>
        <w:trPr>
          <w:trHeight w:hRule="atLeast" w:val="287"/>
        </w:trPr>
        <w:tc>
          <w:tcPr>
            <w:tcW w:type="dxa" w:w="3032"/>
            <w:tcBorders>
              <w:right w:color="000000" w:sz="4" w:val="single"/>
            </w:tcBorders>
            <w:vAlign w:val="center"/>
          </w:tcPr>
          <w:p w14:paraId="E9000000">
            <w:r>
              <w:t>Ко</w:t>
            </w:r>
            <w:r>
              <w:t>д(</w:t>
            </w:r>
            <w:r>
              <w:t>ы) по общероссийскому</w:t>
            </w:r>
            <w:r>
              <w:t xml:space="preserve"> </w:t>
            </w:r>
            <w:r>
              <w:t>классификатору внешнеэкономической</w:t>
            </w:r>
            <w:r>
              <w:t xml:space="preserve"> </w:t>
            </w:r>
            <w:r>
              <w:t>деятельности (ОКВЭД)</w:t>
            </w:r>
          </w:p>
        </w:tc>
        <w:tc>
          <w:tcPr>
            <w:tcW w:type="dxa" w:w="6182"/>
            <w:gridSpan w:val="2"/>
            <w:tcBorders>
              <w:top w:color="000000" w:sz="4" w:val="single"/>
              <w:left w:color="000000" w:sz="4" w:val="single"/>
              <w:bottom w:color="000000" w:sz="4" w:val="single"/>
              <w:right w:color="000000" w:sz="4" w:val="single"/>
            </w:tcBorders>
            <w:vAlign w:val="center"/>
          </w:tcPr>
          <w:p w14:paraId="EA000000">
            <w:pPr>
              <w:spacing w:after="200" w:line="276" w:lineRule="auto"/>
              <w:ind/>
              <w:jc w:val="center"/>
              <w:rPr>
                <w:sz w:val="22"/>
              </w:rPr>
            </w:pPr>
          </w:p>
          <w:p w14:paraId="EB000000">
            <w:pPr>
              <w:spacing w:after="200" w:line="276" w:lineRule="auto"/>
              <w:ind/>
              <w:jc w:val="center"/>
              <w:rPr>
                <w:sz w:val="22"/>
              </w:rPr>
            </w:pPr>
          </w:p>
        </w:tc>
      </w:tr>
      <w:tr>
        <w:trPr>
          <w:trHeight w:hRule="atLeast" w:val="287"/>
        </w:trPr>
        <w:tc>
          <w:tcPr>
            <w:tcW w:type="dxa" w:w="3032"/>
            <w:tcBorders>
              <w:right w:color="000000" w:sz="4" w:val="single"/>
            </w:tcBorders>
            <w:vAlign w:val="center"/>
          </w:tcPr>
          <w:p w14:paraId="EC000000">
            <w:r>
              <w:t>Индивидуальный номер налогоплательщика (ИНН)</w:t>
            </w:r>
          </w:p>
        </w:tc>
        <w:tc>
          <w:tcPr>
            <w:tcW w:type="dxa" w:w="6182"/>
            <w:gridSpan w:val="2"/>
            <w:tcBorders>
              <w:top w:color="000000" w:sz="4" w:val="single"/>
              <w:left w:color="000000" w:sz="4" w:val="single"/>
              <w:bottom w:color="000000" w:sz="4" w:val="single"/>
              <w:right w:color="000000" w:sz="4" w:val="single"/>
            </w:tcBorders>
            <w:vAlign w:val="center"/>
          </w:tcPr>
          <w:p w14:paraId="ED000000">
            <w:pPr>
              <w:spacing w:after="200" w:line="276" w:lineRule="auto"/>
              <w:ind/>
              <w:jc w:val="center"/>
              <w:rPr>
                <w:sz w:val="22"/>
              </w:rPr>
            </w:pPr>
          </w:p>
          <w:p w14:paraId="EE000000">
            <w:pPr>
              <w:spacing w:after="200" w:line="276" w:lineRule="auto"/>
              <w:ind/>
              <w:jc w:val="center"/>
              <w:rPr>
                <w:sz w:val="22"/>
              </w:rPr>
            </w:pPr>
          </w:p>
        </w:tc>
      </w:tr>
      <w:tr>
        <w:trPr>
          <w:trHeight w:hRule="atLeast" w:val="287"/>
        </w:trPr>
        <w:tc>
          <w:tcPr>
            <w:tcW w:type="dxa" w:w="3032"/>
            <w:vAlign w:val="center"/>
          </w:tcPr>
          <w:p w14:paraId="EF000000">
            <w:pPr>
              <w:rPr>
                <w:sz w:val="20"/>
              </w:rPr>
            </w:pPr>
          </w:p>
        </w:tc>
        <w:tc>
          <w:tcPr>
            <w:tcW w:type="dxa" w:w="6182"/>
            <w:gridSpan w:val="2"/>
            <w:tcBorders>
              <w:top w:color="000000" w:sz="4" w:val="single"/>
              <w:bottom w:color="000000" w:sz="4" w:val="single"/>
            </w:tcBorders>
            <w:vAlign w:val="center"/>
          </w:tcPr>
          <w:p w14:paraId="F0000000">
            <w:pPr>
              <w:spacing w:after="200" w:line="276" w:lineRule="auto"/>
              <w:ind/>
              <w:jc w:val="center"/>
              <w:rPr>
                <w:i w:val="1"/>
                <w:sz w:val="20"/>
              </w:rPr>
            </w:pPr>
          </w:p>
        </w:tc>
      </w:tr>
      <w:tr>
        <w:trPr>
          <w:trHeight w:hRule="atLeast" w:val="287"/>
        </w:trPr>
        <w:tc>
          <w:tcPr>
            <w:tcW w:type="dxa" w:w="3032"/>
            <w:tcBorders>
              <w:right w:color="000000" w:sz="4" w:val="single"/>
            </w:tcBorders>
            <w:vAlign w:val="center"/>
          </w:tcPr>
          <w:p w14:paraId="F1000000">
            <w:r>
              <w:t>Код причины постановки на учет (КПП)</w:t>
            </w:r>
          </w:p>
        </w:tc>
        <w:tc>
          <w:tcPr>
            <w:tcW w:type="dxa" w:w="6182"/>
            <w:gridSpan w:val="2"/>
            <w:tcBorders>
              <w:top w:color="000000" w:sz="4" w:val="single"/>
              <w:left w:color="000000" w:sz="4" w:val="single"/>
              <w:bottom w:color="000000" w:sz="4" w:val="single"/>
              <w:right w:color="000000" w:sz="4" w:val="single"/>
            </w:tcBorders>
            <w:vAlign w:val="center"/>
          </w:tcPr>
          <w:p w14:paraId="F2000000">
            <w:pPr>
              <w:spacing w:after="200" w:line="276" w:lineRule="auto"/>
              <w:ind/>
              <w:jc w:val="center"/>
              <w:rPr>
                <w:sz w:val="22"/>
              </w:rPr>
            </w:pPr>
          </w:p>
          <w:p w14:paraId="F3000000">
            <w:pPr>
              <w:spacing w:after="200" w:line="276" w:lineRule="auto"/>
              <w:ind/>
              <w:jc w:val="center"/>
              <w:rPr>
                <w:sz w:val="22"/>
              </w:rPr>
            </w:pPr>
          </w:p>
        </w:tc>
      </w:tr>
      <w:tr>
        <w:trPr>
          <w:trHeight w:hRule="atLeast" w:val="94"/>
        </w:trPr>
        <w:tc>
          <w:tcPr>
            <w:tcW w:type="dxa" w:w="3032"/>
            <w:vAlign w:val="center"/>
          </w:tcPr>
          <w:p w14:paraId="F4000000">
            <w:pPr>
              <w:ind/>
              <w:jc w:val="both"/>
            </w:pPr>
          </w:p>
        </w:tc>
        <w:tc>
          <w:tcPr>
            <w:tcW w:type="dxa" w:w="6182"/>
            <w:gridSpan w:val="2"/>
            <w:tcBorders>
              <w:top w:color="000000" w:sz="4" w:val="single"/>
            </w:tcBorders>
            <w:vAlign w:val="center"/>
          </w:tcPr>
          <w:p w14:paraId="F5000000">
            <w:pPr>
              <w:spacing w:after="200" w:line="276" w:lineRule="auto"/>
              <w:ind/>
              <w:jc w:val="center"/>
              <w:rPr>
                <w:i w:val="1"/>
                <w:sz w:val="22"/>
              </w:rPr>
            </w:pPr>
          </w:p>
        </w:tc>
      </w:tr>
      <w:tr>
        <w:trPr>
          <w:trHeight w:hRule="atLeast" w:val="287"/>
        </w:trPr>
        <w:tc>
          <w:tcPr>
            <w:tcW w:type="dxa" w:w="9214"/>
            <w:gridSpan w:val="3"/>
            <w:vAlign w:val="center"/>
          </w:tcPr>
          <w:p w14:paraId="F6000000">
            <w:pPr>
              <w:ind/>
              <w:jc w:val="center"/>
            </w:pPr>
            <w:r>
              <w:t>Банковские реквизиты:</w:t>
            </w:r>
          </w:p>
        </w:tc>
      </w:tr>
      <w:tr>
        <w:trPr>
          <w:trHeight w:hRule="atLeast" w:val="116"/>
        </w:trPr>
        <w:tc>
          <w:tcPr>
            <w:tcW w:type="dxa" w:w="9214"/>
            <w:gridSpan w:val="3"/>
            <w:vAlign w:val="center"/>
          </w:tcPr>
          <w:p w14:paraId="F7000000">
            <w:pPr>
              <w:ind/>
              <w:jc w:val="both"/>
              <w:rPr>
                <w:sz w:val="20"/>
              </w:rPr>
            </w:pPr>
          </w:p>
        </w:tc>
      </w:tr>
      <w:tr>
        <w:trPr>
          <w:trHeight w:hRule="atLeast" w:val="287"/>
        </w:trPr>
        <w:tc>
          <w:tcPr>
            <w:tcW w:type="dxa" w:w="3032"/>
            <w:tcBorders>
              <w:right w:color="000000" w:sz="4" w:val="single"/>
            </w:tcBorders>
            <w:vAlign w:val="center"/>
          </w:tcPr>
          <w:p w14:paraId="F8000000">
            <w:r>
              <w:t>Номер расчетного счета</w:t>
            </w:r>
          </w:p>
        </w:tc>
        <w:tc>
          <w:tcPr>
            <w:tcW w:type="dxa" w:w="6182"/>
            <w:gridSpan w:val="2"/>
            <w:tcBorders>
              <w:top w:color="000000" w:sz="4" w:val="single"/>
              <w:left w:color="000000" w:sz="4" w:val="single"/>
              <w:bottom w:color="000000" w:sz="4" w:val="single"/>
              <w:right w:color="000000" w:sz="4" w:val="single"/>
            </w:tcBorders>
            <w:vAlign w:val="center"/>
          </w:tcPr>
          <w:p w14:paraId="F9000000">
            <w:pPr>
              <w:spacing w:after="200" w:line="276" w:lineRule="auto"/>
              <w:ind/>
              <w:rPr>
                <w:sz w:val="22"/>
              </w:rPr>
            </w:pPr>
          </w:p>
        </w:tc>
      </w:tr>
      <w:tr>
        <w:trPr>
          <w:trHeight w:hRule="atLeast" w:val="287"/>
        </w:trPr>
        <w:tc>
          <w:tcPr>
            <w:tcW w:type="dxa" w:w="3032"/>
            <w:vAlign w:val="center"/>
          </w:tcPr>
          <w:p w14:paraId="FA000000">
            <w:pPr>
              <w:rPr>
                <w:sz w:val="20"/>
              </w:rPr>
            </w:pPr>
          </w:p>
        </w:tc>
        <w:tc>
          <w:tcPr>
            <w:tcW w:type="dxa" w:w="6182"/>
            <w:gridSpan w:val="2"/>
            <w:tcBorders>
              <w:top w:color="000000" w:sz="4" w:val="single"/>
            </w:tcBorders>
            <w:vAlign w:val="center"/>
          </w:tcPr>
          <w:p w14:paraId="FB000000">
            <w:pPr>
              <w:spacing w:after="200" w:line="276" w:lineRule="auto"/>
              <w:ind/>
              <w:jc w:val="center"/>
              <w:rPr>
                <w:i w:val="1"/>
                <w:sz w:val="20"/>
              </w:rPr>
            </w:pPr>
          </w:p>
        </w:tc>
      </w:tr>
      <w:tr>
        <w:trPr>
          <w:trHeight w:hRule="atLeast" w:val="404"/>
        </w:trPr>
        <w:tc>
          <w:tcPr>
            <w:tcW w:type="dxa" w:w="3032"/>
            <w:tcBorders>
              <w:right w:color="000000" w:sz="4" w:val="single"/>
            </w:tcBorders>
            <w:vAlign w:val="center"/>
          </w:tcPr>
          <w:p w14:paraId="FC000000">
            <w:r>
              <w:t>Наименование банка</w:t>
            </w:r>
          </w:p>
        </w:tc>
        <w:tc>
          <w:tcPr>
            <w:tcW w:type="dxa" w:w="6182"/>
            <w:gridSpan w:val="2"/>
            <w:tcBorders>
              <w:top w:color="000000" w:sz="4" w:val="single"/>
              <w:left w:color="000000" w:sz="4" w:val="single"/>
              <w:bottom w:color="000000" w:sz="4" w:val="single"/>
              <w:right w:color="000000" w:sz="4" w:val="single"/>
            </w:tcBorders>
            <w:vAlign w:val="center"/>
          </w:tcPr>
          <w:p w14:paraId="FD000000">
            <w:pPr>
              <w:spacing w:after="200" w:line="276" w:lineRule="auto"/>
              <w:ind/>
              <w:jc w:val="center"/>
              <w:rPr>
                <w:sz w:val="22"/>
              </w:rPr>
            </w:pPr>
          </w:p>
        </w:tc>
      </w:tr>
      <w:tr>
        <w:trPr>
          <w:trHeight w:hRule="atLeast" w:val="287"/>
        </w:trPr>
        <w:tc>
          <w:tcPr>
            <w:tcW w:type="dxa" w:w="3032"/>
            <w:tcBorders>
              <w:right w:color="000000" w:sz="4" w:val="single"/>
            </w:tcBorders>
            <w:vAlign w:val="center"/>
          </w:tcPr>
          <w:p w14:paraId="FE000000">
            <w:r>
              <w:t>Банковский идентификационный код (БИК)</w:t>
            </w:r>
          </w:p>
        </w:tc>
        <w:tc>
          <w:tcPr>
            <w:tcW w:type="dxa" w:w="6182"/>
            <w:gridSpan w:val="2"/>
            <w:tcBorders>
              <w:top w:color="000000" w:sz="4" w:val="single"/>
              <w:left w:color="000000" w:sz="4" w:val="single"/>
              <w:bottom w:color="000000" w:sz="4" w:val="single"/>
              <w:right w:color="000000" w:sz="4" w:val="single"/>
            </w:tcBorders>
            <w:vAlign w:val="center"/>
          </w:tcPr>
          <w:p w14:paraId="FF000000">
            <w:pPr>
              <w:spacing w:after="200" w:line="276" w:lineRule="auto"/>
              <w:ind/>
              <w:jc w:val="center"/>
              <w:rPr>
                <w:sz w:val="22"/>
              </w:rPr>
            </w:pPr>
          </w:p>
          <w:p w14:paraId="00010000">
            <w:pPr>
              <w:spacing w:after="200" w:line="276" w:lineRule="auto"/>
              <w:ind/>
              <w:jc w:val="center"/>
              <w:rPr>
                <w:sz w:val="22"/>
              </w:rPr>
            </w:pPr>
          </w:p>
        </w:tc>
      </w:tr>
      <w:tr>
        <w:trPr>
          <w:trHeight w:hRule="atLeast" w:val="287"/>
        </w:trPr>
        <w:tc>
          <w:tcPr>
            <w:tcW w:type="dxa" w:w="3032"/>
            <w:vAlign w:val="center"/>
          </w:tcPr>
          <w:p w14:paraId="01010000">
            <w:pPr>
              <w:rPr>
                <w:sz w:val="20"/>
              </w:rPr>
            </w:pPr>
          </w:p>
        </w:tc>
        <w:tc>
          <w:tcPr>
            <w:tcW w:type="dxa" w:w="6182"/>
            <w:gridSpan w:val="2"/>
            <w:tcBorders>
              <w:top w:color="000000" w:sz="4" w:val="single"/>
              <w:bottom w:color="000000" w:sz="4" w:val="single"/>
            </w:tcBorders>
            <w:vAlign w:val="center"/>
          </w:tcPr>
          <w:p w14:paraId="02010000">
            <w:pPr>
              <w:spacing w:after="200" w:line="276" w:lineRule="auto"/>
              <w:ind/>
              <w:jc w:val="center"/>
              <w:rPr>
                <w:i w:val="1"/>
                <w:sz w:val="20"/>
              </w:rPr>
            </w:pPr>
          </w:p>
        </w:tc>
      </w:tr>
      <w:tr>
        <w:trPr>
          <w:trHeight w:hRule="atLeast" w:val="287"/>
        </w:trPr>
        <w:tc>
          <w:tcPr>
            <w:tcW w:type="dxa" w:w="3032"/>
            <w:tcBorders>
              <w:right w:color="000000" w:sz="4" w:val="single"/>
            </w:tcBorders>
            <w:vAlign w:val="center"/>
          </w:tcPr>
          <w:p w14:paraId="03010000">
            <w:r>
              <w:t>ИНН банка</w:t>
            </w:r>
          </w:p>
        </w:tc>
        <w:tc>
          <w:tcPr>
            <w:tcW w:type="dxa" w:w="6182"/>
            <w:gridSpan w:val="2"/>
            <w:tcBorders>
              <w:top w:color="000000" w:sz="4" w:val="single"/>
              <w:left w:color="000000" w:sz="4" w:val="single"/>
              <w:bottom w:color="000000" w:sz="4" w:val="single"/>
              <w:right w:color="000000" w:sz="4" w:val="single"/>
            </w:tcBorders>
            <w:vAlign w:val="center"/>
          </w:tcPr>
          <w:p w14:paraId="04010000">
            <w:pPr>
              <w:spacing w:after="200" w:line="276" w:lineRule="auto"/>
              <w:ind/>
              <w:jc w:val="center"/>
              <w:rPr>
                <w:sz w:val="22"/>
              </w:rPr>
            </w:pPr>
          </w:p>
          <w:p w14:paraId="05010000">
            <w:pPr>
              <w:spacing w:after="200" w:line="276" w:lineRule="auto"/>
              <w:ind/>
              <w:jc w:val="center"/>
              <w:rPr>
                <w:sz w:val="22"/>
              </w:rPr>
            </w:pPr>
          </w:p>
        </w:tc>
      </w:tr>
      <w:tr>
        <w:trPr>
          <w:trHeight w:hRule="atLeast" w:val="287"/>
        </w:trPr>
        <w:tc>
          <w:tcPr>
            <w:tcW w:type="dxa" w:w="3032"/>
            <w:vAlign w:val="center"/>
          </w:tcPr>
          <w:p w14:paraId="06010000">
            <w:pPr>
              <w:ind/>
              <w:jc w:val="both"/>
              <w:rPr>
                <w:sz w:val="20"/>
              </w:rPr>
            </w:pPr>
          </w:p>
        </w:tc>
        <w:tc>
          <w:tcPr>
            <w:tcW w:type="dxa" w:w="6182"/>
            <w:gridSpan w:val="2"/>
            <w:tcBorders>
              <w:top w:color="000000" w:sz="4" w:val="single"/>
              <w:bottom w:color="000000" w:sz="4" w:val="single"/>
            </w:tcBorders>
            <w:vAlign w:val="center"/>
          </w:tcPr>
          <w:p w14:paraId="07010000">
            <w:pPr>
              <w:spacing w:after="200" w:line="276" w:lineRule="auto"/>
              <w:ind/>
              <w:jc w:val="center"/>
              <w:rPr>
                <w:i w:val="1"/>
                <w:sz w:val="20"/>
              </w:rPr>
            </w:pPr>
          </w:p>
        </w:tc>
      </w:tr>
      <w:tr>
        <w:trPr>
          <w:trHeight w:hRule="atLeast" w:val="287"/>
        </w:trPr>
        <w:tc>
          <w:tcPr>
            <w:tcW w:type="dxa" w:w="3032"/>
            <w:tcBorders>
              <w:right w:color="000000" w:sz="4" w:val="single"/>
            </w:tcBorders>
            <w:vAlign w:val="center"/>
          </w:tcPr>
          <w:p w14:paraId="08010000">
            <w:pPr>
              <w:ind/>
              <w:jc w:val="both"/>
            </w:pPr>
            <w:r>
              <w:t>КПП банка</w:t>
            </w:r>
          </w:p>
        </w:tc>
        <w:tc>
          <w:tcPr>
            <w:tcW w:type="dxa" w:w="6182"/>
            <w:gridSpan w:val="2"/>
            <w:tcBorders>
              <w:top w:color="000000" w:sz="4" w:val="single"/>
              <w:left w:color="000000" w:sz="4" w:val="single"/>
              <w:bottom w:color="000000" w:sz="4" w:val="single"/>
              <w:right w:color="000000" w:sz="4" w:val="single"/>
            </w:tcBorders>
            <w:vAlign w:val="center"/>
          </w:tcPr>
          <w:p w14:paraId="09010000">
            <w:pPr>
              <w:spacing w:after="200" w:line="276" w:lineRule="auto"/>
              <w:ind/>
              <w:jc w:val="center"/>
              <w:rPr>
                <w:sz w:val="22"/>
              </w:rPr>
            </w:pPr>
          </w:p>
          <w:p w14:paraId="0A010000">
            <w:pPr>
              <w:spacing w:after="200" w:line="276" w:lineRule="auto"/>
              <w:ind/>
              <w:jc w:val="center"/>
              <w:rPr>
                <w:sz w:val="22"/>
              </w:rPr>
            </w:pPr>
          </w:p>
        </w:tc>
      </w:tr>
      <w:tr>
        <w:trPr>
          <w:trHeight w:hRule="atLeast" w:val="287"/>
        </w:trPr>
        <w:tc>
          <w:tcPr>
            <w:tcW w:type="dxa" w:w="3032"/>
            <w:vAlign w:val="center"/>
          </w:tcPr>
          <w:p w14:paraId="0B010000">
            <w:pPr>
              <w:spacing w:after="200" w:line="276" w:lineRule="auto"/>
              <w:ind/>
              <w:rPr>
                <w:sz w:val="20"/>
              </w:rPr>
            </w:pPr>
          </w:p>
        </w:tc>
        <w:tc>
          <w:tcPr>
            <w:tcW w:type="dxa" w:w="6182"/>
            <w:gridSpan w:val="2"/>
            <w:tcBorders>
              <w:top w:color="000000" w:sz="4" w:val="single"/>
            </w:tcBorders>
            <w:vAlign w:val="center"/>
          </w:tcPr>
          <w:p w14:paraId="0C010000">
            <w:pPr>
              <w:spacing w:after="200" w:line="276" w:lineRule="auto"/>
              <w:ind/>
              <w:jc w:val="center"/>
              <w:rPr>
                <w:i w:val="1"/>
                <w:sz w:val="20"/>
              </w:rPr>
            </w:pPr>
          </w:p>
        </w:tc>
      </w:tr>
      <w:tr>
        <w:trPr>
          <w:trHeight w:hRule="atLeast" w:val="287"/>
        </w:trPr>
        <w:tc>
          <w:tcPr>
            <w:tcW w:type="dxa" w:w="3032"/>
            <w:tcBorders>
              <w:right w:color="000000" w:sz="4" w:val="single"/>
            </w:tcBorders>
            <w:vAlign w:val="center"/>
          </w:tcPr>
          <w:p w14:paraId="0D010000">
            <w:pPr>
              <w:ind/>
              <w:jc w:val="both"/>
            </w:pPr>
            <w:r>
              <w:t>Номер корреспондентского счета банка</w:t>
            </w:r>
          </w:p>
        </w:tc>
        <w:tc>
          <w:tcPr>
            <w:tcW w:type="dxa" w:w="6182"/>
            <w:gridSpan w:val="2"/>
            <w:tcBorders>
              <w:top w:color="000000" w:sz="4" w:val="single"/>
              <w:left w:color="000000" w:sz="4" w:val="single"/>
              <w:bottom w:color="000000" w:sz="4" w:val="single"/>
              <w:right w:color="000000" w:sz="4" w:val="single"/>
            </w:tcBorders>
            <w:vAlign w:val="center"/>
          </w:tcPr>
          <w:p w14:paraId="0E010000">
            <w:pPr>
              <w:spacing w:after="200" w:line="276" w:lineRule="auto"/>
              <w:ind/>
              <w:jc w:val="center"/>
              <w:rPr>
                <w:sz w:val="22"/>
              </w:rPr>
            </w:pPr>
          </w:p>
          <w:p w14:paraId="0F010000">
            <w:pPr>
              <w:spacing w:after="200" w:line="276" w:lineRule="auto"/>
              <w:ind/>
              <w:jc w:val="center"/>
              <w:rPr>
                <w:sz w:val="22"/>
              </w:rPr>
            </w:pPr>
          </w:p>
        </w:tc>
      </w:tr>
      <w:tr>
        <w:trPr>
          <w:trHeight w:hRule="atLeast" w:val="287"/>
        </w:trPr>
        <w:tc>
          <w:tcPr>
            <w:tcW w:type="dxa" w:w="9214"/>
            <w:gridSpan w:val="3"/>
          </w:tcPr>
          <w:p w14:paraId="10010000">
            <w:pPr>
              <w:ind/>
              <w:jc w:val="center"/>
            </w:pPr>
          </w:p>
          <w:p w14:paraId="11010000">
            <w:pPr>
              <w:ind/>
              <w:jc w:val="center"/>
            </w:pPr>
            <w:r>
              <w:t>2. Контактная информация организации</w:t>
            </w:r>
          </w:p>
          <w:p w14:paraId="12010000">
            <w:pPr>
              <w:ind/>
              <w:jc w:val="center"/>
            </w:pPr>
          </w:p>
        </w:tc>
      </w:tr>
      <w:tr>
        <w:trPr>
          <w:trHeight w:hRule="atLeast" w:val="287"/>
        </w:trPr>
        <w:tc>
          <w:tcPr>
            <w:tcW w:type="dxa" w:w="3032"/>
            <w:tcBorders>
              <w:right w:color="000000" w:sz="4" w:val="single"/>
            </w:tcBorders>
            <w:vAlign w:val="center"/>
          </w:tcPr>
          <w:p w14:paraId="13010000">
            <w:r>
              <w:t>Юридический адрес организации</w:t>
            </w:r>
          </w:p>
        </w:tc>
        <w:tc>
          <w:tcPr>
            <w:tcW w:type="dxa" w:w="6182"/>
            <w:gridSpan w:val="2"/>
            <w:tcBorders>
              <w:top w:color="000000" w:sz="4" w:val="single"/>
              <w:left w:color="000000" w:sz="4" w:val="single"/>
              <w:bottom w:color="000000" w:sz="4" w:val="single"/>
              <w:right w:color="000000" w:sz="4" w:val="single"/>
            </w:tcBorders>
            <w:vAlign w:val="center"/>
          </w:tcPr>
          <w:p w14:paraId="14010000">
            <w:pPr>
              <w:spacing w:after="200" w:line="276" w:lineRule="auto"/>
              <w:ind/>
              <w:jc w:val="center"/>
              <w:rPr>
                <w:sz w:val="22"/>
              </w:rPr>
            </w:pPr>
          </w:p>
          <w:p w14:paraId="15010000">
            <w:pPr>
              <w:spacing w:after="200" w:line="276" w:lineRule="auto"/>
              <w:ind/>
              <w:jc w:val="center"/>
              <w:rPr>
                <w:sz w:val="22"/>
              </w:rPr>
            </w:pPr>
          </w:p>
        </w:tc>
      </w:tr>
      <w:tr>
        <w:trPr>
          <w:trHeight w:hRule="atLeast" w:val="287"/>
        </w:trPr>
        <w:tc>
          <w:tcPr>
            <w:tcW w:type="dxa" w:w="3032"/>
            <w:tcBorders>
              <w:right w:color="000000" w:sz="4" w:val="single"/>
            </w:tcBorders>
            <w:vAlign w:val="center"/>
          </w:tcPr>
          <w:p w14:paraId="16010000">
            <w:r>
              <w:t>Почтовый адрес организации</w:t>
            </w:r>
          </w:p>
        </w:tc>
        <w:tc>
          <w:tcPr>
            <w:tcW w:type="dxa" w:w="6182"/>
            <w:gridSpan w:val="2"/>
            <w:tcBorders>
              <w:top w:color="000000" w:sz="4" w:val="single"/>
              <w:left w:color="000000" w:sz="4" w:val="single"/>
              <w:bottom w:color="000000" w:sz="4" w:val="single"/>
              <w:right w:color="000000" w:sz="4" w:val="single"/>
            </w:tcBorders>
            <w:vAlign w:val="center"/>
          </w:tcPr>
          <w:p w14:paraId="17010000">
            <w:pPr>
              <w:spacing w:after="200" w:line="276" w:lineRule="auto"/>
              <w:ind/>
              <w:jc w:val="center"/>
              <w:rPr>
                <w:sz w:val="22"/>
              </w:rPr>
            </w:pPr>
          </w:p>
          <w:p w14:paraId="18010000">
            <w:pPr>
              <w:spacing w:after="200" w:line="276" w:lineRule="auto"/>
              <w:ind/>
              <w:jc w:val="center"/>
              <w:rPr>
                <w:sz w:val="22"/>
              </w:rPr>
            </w:pPr>
          </w:p>
        </w:tc>
      </w:tr>
      <w:tr>
        <w:trPr>
          <w:trHeight w:hRule="atLeast" w:val="287"/>
        </w:trPr>
        <w:tc>
          <w:tcPr>
            <w:tcW w:type="dxa" w:w="3032"/>
            <w:vAlign w:val="center"/>
          </w:tcPr>
          <w:p w14:paraId="19010000">
            <w:pPr>
              <w:ind w:firstLine="709"/>
              <w:rPr>
                <w:sz w:val="20"/>
              </w:rPr>
            </w:pPr>
          </w:p>
        </w:tc>
        <w:tc>
          <w:tcPr>
            <w:tcW w:type="dxa" w:w="6182"/>
            <w:gridSpan w:val="2"/>
            <w:tcBorders>
              <w:top w:color="000000" w:sz="4" w:val="single"/>
            </w:tcBorders>
            <w:vAlign w:val="center"/>
          </w:tcPr>
          <w:p w14:paraId="1A010000">
            <w:pPr>
              <w:spacing w:after="200" w:line="276" w:lineRule="auto"/>
              <w:ind/>
              <w:jc w:val="center"/>
              <w:rPr>
                <w:i w:val="1"/>
                <w:sz w:val="20"/>
              </w:rPr>
            </w:pPr>
          </w:p>
        </w:tc>
      </w:tr>
      <w:tr>
        <w:trPr>
          <w:trHeight w:hRule="atLeast" w:val="287"/>
        </w:trPr>
        <w:tc>
          <w:tcPr>
            <w:tcW w:type="dxa" w:w="3032"/>
            <w:tcBorders>
              <w:right w:color="000000" w:sz="4" w:val="single"/>
            </w:tcBorders>
            <w:vAlign w:val="center"/>
          </w:tcPr>
          <w:p w14:paraId="1B010000">
            <w:r>
              <w:t>Телефон</w:t>
            </w:r>
          </w:p>
        </w:tc>
        <w:tc>
          <w:tcPr>
            <w:tcW w:type="dxa" w:w="6182"/>
            <w:gridSpan w:val="2"/>
            <w:tcBorders>
              <w:top w:color="000000" w:sz="4" w:val="single"/>
              <w:left w:color="000000" w:sz="4" w:val="single"/>
              <w:bottom w:color="000000" w:sz="4" w:val="single"/>
              <w:right w:color="000000" w:sz="4" w:val="single"/>
            </w:tcBorders>
            <w:vAlign w:val="center"/>
          </w:tcPr>
          <w:p w14:paraId="1C010000">
            <w:pPr>
              <w:spacing w:after="200" w:line="276" w:lineRule="auto"/>
              <w:ind/>
              <w:rPr>
                <w:sz w:val="22"/>
              </w:rPr>
            </w:pPr>
          </w:p>
        </w:tc>
      </w:tr>
      <w:tr>
        <w:trPr>
          <w:trHeight w:hRule="atLeast" w:val="287"/>
        </w:trPr>
        <w:tc>
          <w:tcPr>
            <w:tcW w:type="dxa" w:w="3032"/>
            <w:vAlign w:val="center"/>
          </w:tcPr>
          <w:p w14:paraId="1D010000">
            <w:pPr>
              <w:rPr>
                <w:sz w:val="20"/>
              </w:rPr>
            </w:pPr>
          </w:p>
        </w:tc>
        <w:tc>
          <w:tcPr>
            <w:tcW w:type="dxa" w:w="6182"/>
            <w:gridSpan w:val="2"/>
            <w:tcBorders>
              <w:top w:color="000000" w:sz="4" w:val="single"/>
            </w:tcBorders>
            <w:vAlign w:val="center"/>
          </w:tcPr>
          <w:p w14:paraId="1E010000">
            <w:pPr>
              <w:spacing w:after="200" w:line="276" w:lineRule="auto"/>
              <w:ind/>
              <w:jc w:val="center"/>
              <w:rPr>
                <w:i w:val="1"/>
                <w:sz w:val="20"/>
              </w:rPr>
            </w:pPr>
          </w:p>
        </w:tc>
      </w:tr>
      <w:tr>
        <w:trPr>
          <w:trHeight w:hRule="atLeast" w:val="287"/>
        </w:trPr>
        <w:tc>
          <w:tcPr>
            <w:tcW w:type="dxa" w:w="3032"/>
            <w:tcBorders>
              <w:right w:color="000000" w:sz="4" w:val="single"/>
            </w:tcBorders>
            <w:vAlign w:val="center"/>
          </w:tcPr>
          <w:p w14:paraId="1F010000">
            <w:r>
              <w:t>Сайт в сети «Интернет»</w:t>
            </w:r>
          </w:p>
        </w:tc>
        <w:tc>
          <w:tcPr>
            <w:tcW w:type="dxa" w:w="6182"/>
            <w:gridSpan w:val="2"/>
            <w:tcBorders>
              <w:top w:color="000000" w:sz="4" w:val="single"/>
              <w:left w:color="000000" w:sz="4" w:val="single"/>
              <w:bottom w:color="000000" w:sz="4" w:val="single"/>
              <w:right w:color="000000" w:sz="4" w:val="single"/>
            </w:tcBorders>
            <w:vAlign w:val="center"/>
          </w:tcPr>
          <w:p w14:paraId="20010000">
            <w:pPr>
              <w:spacing w:after="200" w:line="276" w:lineRule="auto"/>
              <w:ind/>
              <w:rPr>
                <w:sz w:val="22"/>
              </w:rPr>
            </w:pPr>
          </w:p>
        </w:tc>
      </w:tr>
      <w:tr>
        <w:trPr>
          <w:trHeight w:hRule="atLeast" w:val="287"/>
        </w:trPr>
        <w:tc>
          <w:tcPr>
            <w:tcW w:type="dxa" w:w="3032"/>
            <w:vAlign w:val="center"/>
          </w:tcPr>
          <w:p w14:paraId="21010000">
            <w:pPr>
              <w:ind w:firstLine="709"/>
              <w:rPr>
                <w:sz w:val="20"/>
              </w:rPr>
            </w:pPr>
          </w:p>
        </w:tc>
        <w:tc>
          <w:tcPr>
            <w:tcW w:type="dxa" w:w="6182"/>
            <w:gridSpan w:val="2"/>
            <w:tcBorders>
              <w:top w:color="000000" w:sz="4" w:val="single"/>
            </w:tcBorders>
            <w:vAlign w:val="center"/>
          </w:tcPr>
          <w:p w14:paraId="22010000">
            <w:pPr>
              <w:spacing w:after="200" w:line="276" w:lineRule="auto"/>
              <w:ind/>
              <w:jc w:val="center"/>
              <w:rPr>
                <w:i w:val="1"/>
                <w:sz w:val="20"/>
              </w:rPr>
            </w:pPr>
          </w:p>
        </w:tc>
      </w:tr>
      <w:tr>
        <w:trPr>
          <w:trHeight w:hRule="atLeast" w:val="287"/>
        </w:trPr>
        <w:tc>
          <w:tcPr>
            <w:tcW w:type="dxa" w:w="3032"/>
            <w:tcBorders>
              <w:right w:color="000000" w:sz="4" w:val="single"/>
            </w:tcBorders>
            <w:vAlign w:val="center"/>
          </w:tcPr>
          <w:p w14:paraId="23010000">
            <w:r>
              <w:t>Адрес электронной почты</w:t>
            </w:r>
          </w:p>
        </w:tc>
        <w:tc>
          <w:tcPr>
            <w:tcW w:type="dxa" w:w="6182"/>
            <w:gridSpan w:val="2"/>
            <w:tcBorders>
              <w:top w:color="000000" w:sz="4" w:val="single"/>
              <w:left w:color="000000" w:sz="4" w:val="single"/>
              <w:bottom w:color="000000" w:sz="4" w:val="single"/>
              <w:right w:color="000000" w:sz="4" w:val="single"/>
            </w:tcBorders>
            <w:vAlign w:val="center"/>
          </w:tcPr>
          <w:p w14:paraId="24010000">
            <w:pPr>
              <w:spacing w:after="200" w:line="276" w:lineRule="auto"/>
              <w:ind/>
              <w:rPr>
                <w:sz w:val="22"/>
              </w:rPr>
            </w:pPr>
          </w:p>
        </w:tc>
      </w:tr>
      <w:tr>
        <w:trPr>
          <w:trHeight w:hRule="atLeast" w:val="287"/>
        </w:trPr>
        <w:tc>
          <w:tcPr>
            <w:tcW w:type="dxa" w:w="3032"/>
            <w:vAlign w:val="center"/>
          </w:tcPr>
          <w:p w14:paraId="25010000">
            <w:pPr>
              <w:ind w:firstLine="709"/>
              <w:rPr>
                <w:sz w:val="20"/>
              </w:rPr>
            </w:pPr>
          </w:p>
        </w:tc>
        <w:tc>
          <w:tcPr>
            <w:tcW w:type="dxa" w:w="6182"/>
            <w:gridSpan w:val="2"/>
            <w:tcBorders>
              <w:top w:color="000000" w:sz="4" w:val="single"/>
            </w:tcBorders>
            <w:vAlign w:val="center"/>
          </w:tcPr>
          <w:p w14:paraId="26010000">
            <w:pPr>
              <w:spacing w:after="200" w:line="276" w:lineRule="auto"/>
              <w:ind/>
              <w:jc w:val="center"/>
              <w:rPr>
                <w:i w:val="1"/>
                <w:sz w:val="20"/>
              </w:rPr>
            </w:pPr>
          </w:p>
        </w:tc>
      </w:tr>
      <w:tr>
        <w:trPr>
          <w:trHeight w:hRule="atLeast" w:val="230"/>
        </w:trPr>
        <w:tc>
          <w:tcPr>
            <w:tcW w:type="dxa" w:w="3032"/>
            <w:tcBorders>
              <w:right w:color="000000" w:sz="4" w:val="single"/>
            </w:tcBorders>
            <w:vAlign w:val="center"/>
          </w:tcPr>
          <w:p w14:paraId="27010000">
            <w:r>
              <w:t xml:space="preserve">Руководитель организации </w:t>
            </w:r>
          </w:p>
        </w:tc>
        <w:tc>
          <w:tcPr>
            <w:tcW w:type="dxa" w:w="6182"/>
            <w:gridSpan w:val="2"/>
            <w:tcBorders>
              <w:top w:color="000000" w:sz="4" w:val="single"/>
              <w:left w:color="000000" w:sz="4" w:val="single"/>
              <w:bottom w:color="000000" w:sz="4" w:val="single"/>
              <w:right w:color="000000" w:sz="4" w:val="single"/>
            </w:tcBorders>
            <w:vAlign w:val="center"/>
          </w:tcPr>
          <w:p w14:paraId="28010000">
            <w:pPr>
              <w:keepLines w:val="1"/>
              <w:spacing w:after="200" w:line="276" w:lineRule="auto"/>
              <w:ind/>
              <w:jc w:val="center"/>
              <w:rPr>
                <w:sz w:val="22"/>
              </w:rPr>
            </w:pPr>
          </w:p>
          <w:p w14:paraId="29010000">
            <w:pPr>
              <w:keepLines w:val="1"/>
              <w:spacing w:after="200" w:line="276" w:lineRule="auto"/>
              <w:ind/>
              <w:jc w:val="center"/>
              <w:rPr>
                <w:sz w:val="22"/>
              </w:rPr>
            </w:pPr>
          </w:p>
        </w:tc>
      </w:tr>
      <w:tr>
        <w:trPr>
          <w:trHeight w:hRule="atLeast" w:val="230"/>
        </w:trPr>
        <w:tc>
          <w:tcPr>
            <w:tcW w:type="dxa" w:w="3032"/>
          </w:tcPr>
          <w:p w14:paraId="2A010000">
            <w:pPr>
              <w:spacing w:after="200" w:line="276" w:lineRule="auto"/>
              <w:ind/>
              <w:rPr>
                <w:sz w:val="22"/>
              </w:rPr>
            </w:pPr>
          </w:p>
        </w:tc>
        <w:tc>
          <w:tcPr>
            <w:tcW w:type="dxa" w:w="6182"/>
            <w:gridSpan w:val="2"/>
            <w:tcBorders>
              <w:top w:color="000000" w:sz="4" w:val="single"/>
            </w:tcBorders>
            <w:vAlign w:val="center"/>
          </w:tcPr>
          <w:p w14:paraId="2B010000">
            <w:pPr>
              <w:keepLines w:val="1"/>
              <w:spacing w:after="200" w:line="276" w:lineRule="auto"/>
              <w:ind/>
              <w:jc w:val="center"/>
              <w:rPr>
                <w:i w:val="1"/>
                <w:sz w:val="22"/>
              </w:rPr>
            </w:pPr>
            <w:r>
              <w:rPr>
                <w:i w:val="1"/>
                <w:sz w:val="18"/>
              </w:rPr>
              <w:t>(Ф.И.О., должность руководителя организации в соответствии с учредительными документами)</w:t>
            </w:r>
          </w:p>
        </w:tc>
      </w:tr>
      <w:tr>
        <w:trPr>
          <w:trHeight w:hRule="atLeast" w:val="230"/>
        </w:trPr>
        <w:tc>
          <w:tcPr>
            <w:tcW w:type="dxa" w:w="9214"/>
            <w:gridSpan w:val="3"/>
          </w:tcPr>
          <w:p w14:paraId="2C010000">
            <w:pPr>
              <w:ind/>
              <w:jc w:val="both"/>
            </w:pPr>
          </w:p>
          <w:p w14:paraId="2D010000">
            <w:pPr>
              <w:ind w:firstLine="709"/>
              <w:jc w:val="both"/>
            </w:pPr>
            <w:r>
              <w:t>3. К заявлению прилагаются следующие документы:</w:t>
            </w:r>
          </w:p>
        </w:tc>
      </w:tr>
      <w:tr>
        <w:trPr>
          <w:trHeight w:hRule="atLeast" w:val="230"/>
        </w:trPr>
        <w:tc>
          <w:tcPr>
            <w:tcW w:type="dxa" w:w="9214"/>
            <w:gridSpan w:val="3"/>
          </w:tcPr>
          <w:p w14:paraId="2E010000">
            <w:pPr>
              <w:ind w:firstLine="709"/>
              <w:jc w:val="both"/>
            </w:pPr>
          </w:p>
          <w:p w14:paraId="2F010000">
            <w:pPr>
              <w:ind w:firstLine="709"/>
              <w:jc w:val="both"/>
            </w:pPr>
            <w:r>
              <w:t>1. …</w:t>
            </w:r>
          </w:p>
          <w:p w14:paraId="30010000">
            <w:pPr>
              <w:ind w:firstLine="709"/>
              <w:jc w:val="both"/>
            </w:pPr>
            <w:r>
              <w:t>2. …</w:t>
            </w:r>
          </w:p>
          <w:p w14:paraId="31010000">
            <w:pPr>
              <w:ind w:firstLine="709"/>
              <w:jc w:val="both"/>
            </w:pPr>
            <w:r>
              <w:t>3. …</w:t>
            </w:r>
          </w:p>
        </w:tc>
      </w:tr>
    </w:tbl>
    <w:p w14:paraId="32010000">
      <w:pPr>
        <w:spacing w:after="200" w:line="276" w:lineRule="auto"/>
        <w:ind/>
        <w:jc w:val="center"/>
      </w:pPr>
    </w:p>
    <w:p w14:paraId="33010000">
      <w:pPr>
        <w:ind w:firstLine="851"/>
        <w:jc w:val="both"/>
      </w:pPr>
      <w:r>
        <w:t>Достоверность информации, представленной в заявлении</w:t>
      </w:r>
      <w:r>
        <w:t>,</w:t>
      </w:r>
      <w:r>
        <w:t xml:space="preserve"> и приложенных к нему документов на участие в отборе </w:t>
      </w:r>
      <w:r>
        <w:t>на предоставлени</w:t>
      </w:r>
      <w:r>
        <w:t>е</w:t>
      </w:r>
      <w:r>
        <w:t xml:space="preserve"> субсидии из бюджета города Батайска </w:t>
      </w:r>
      <w:r>
        <w:t xml:space="preserve">на </w:t>
      </w:r>
      <w:r>
        <w:t>компенсацию перевозчикам, осуществляющим регулярные перевозки пассажиров и багажа автомобильным транспортом</w:t>
      </w:r>
      <w:r>
        <w:t xml:space="preserve"> </w:t>
      </w:r>
      <w:r>
        <w:t>по муниципальным маршрутам города Батайска, выпадающих доходов из-за разницы между тарифом на перевозку пассажиров и багажа и экономически обоснованным тарифом</w:t>
      </w:r>
      <w:r>
        <w:t>,</w:t>
      </w:r>
      <w:r>
        <w:t xml:space="preserve"> подтверждаю.</w:t>
      </w:r>
    </w:p>
    <w:p w14:paraId="34010000">
      <w:pPr>
        <w:spacing w:after="200" w:line="276" w:lineRule="auto"/>
        <w:ind w:firstLine="709"/>
        <w:jc w:val="both"/>
      </w:pPr>
      <w:r>
        <w:t>С условиями отбора и предоставления субсидии ознакомлены и согласны.</w:t>
      </w:r>
    </w:p>
    <w:p w14:paraId="35010000">
      <w:pPr>
        <w:spacing w:after="200" w:line="276" w:lineRule="auto"/>
        <w:ind/>
        <w:jc w:val="both"/>
      </w:pPr>
    </w:p>
    <w:p w14:paraId="36010000">
      <w:pPr>
        <w:ind/>
        <w:jc w:val="both"/>
      </w:pPr>
      <w:r>
        <w:t>Руководитель ___________   _____________________ «__» _________</w:t>
      </w:r>
      <w:r>
        <w:t xml:space="preserve"> 20__ г.</w:t>
      </w:r>
    </w:p>
    <w:p w14:paraId="37010000">
      <w:pPr>
        <w:ind/>
        <w:jc w:val="both"/>
        <w:rPr>
          <w:sz w:val="20"/>
        </w:rPr>
      </w:pPr>
      <w:r>
        <w:rPr>
          <w:sz w:val="20"/>
        </w:rPr>
        <w:t xml:space="preserve">  </w:t>
      </w:r>
      <w:r>
        <w:rPr>
          <w:sz w:val="20"/>
        </w:rPr>
        <w:t xml:space="preserve">          </w:t>
      </w:r>
      <w:r>
        <w:rPr>
          <w:sz w:val="20"/>
        </w:rPr>
        <w:t xml:space="preserve">                              (подпись)</w:t>
      </w:r>
      <w:r>
        <w:rPr>
          <w:sz w:val="20"/>
        </w:rPr>
        <w:t xml:space="preserve">         </w:t>
      </w:r>
      <w:r>
        <w:rPr>
          <w:sz w:val="20"/>
        </w:rPr>
        <w:t xml:space="preserve">        </w:t>
      </w:r>
      <w:r>
        <w:rPr>
          <w:sz w:val="20"/>
        </w:rPr>
        <w:t xml:space="preserve">        </w:t>
      </w:r>
      <w:r>
        <w:rPr>
          <w:sz w:val="20"/>
        </w:rPr>
        <w:t xml:space="preserve">        (Ф.И.О.)</w:t>
      </w:r>
    </w:p>
    <w:p w14:paraId="38010000">
      <w:pPr>
        <w:ind/>
        <w:jc w:val="both"/>
      </w:pPr>
      <w:r>
        <w:t xml:space="preserve">  М.П.</w:t>
      </w:r>
    </w:p>
    <w:p w14:paraId="39010000">
      <w:pPr>
        <w:sectPr>
          <w:headerReference r:id="rId5" w:type="default"/>
          <w:pgSz w:h="16838" w:orient="portrait" w:w="11906"/>
          <w:pgMar w:bottom="1134" w:footer="709" w:gutter="0" w:header="709" w:left="1701" w:right="851" w:top="1134"/>
        </w:sectPr>
      </w:pPr>
    </w:p>
    <w:p w14:paraId="3A010000">
      <w:pPr>
        <w:pStyle w:val="Style_3"/>
        <w:ind w:left="3686"/>
        <w:jc w:val="center"/>
        <w:outlineLvl w:val="1"/>
        <w:rPr>
          <w:rFonts w:ascii="Times New Roman" w:hAnsi="Times New Roman"/>
          <w:sz w:val="28"/>
        </w:rPr>
      </w:pPr>
      <w:r>
        <w:rPr>
          <w:rFonts w:ascii="Times New Roman" w:hAnsi="Times New Roman"/>
          <w:sz w:val="28"/>
        </w:rPr>
        <w:t>Приложение № 2</w:t>
      </w:r>
    </w:p>
    <w:p w14:paraId="3B010000">
      <w:pPr>
        <w:pStyle w:val="Style_3"/>
        <w:ind w:left="3686"/>
        <w:jc w:val="center"/>
        <w:rPr>
          <w:rFonts w:ascii="Times New Roman" w:hAnsi="Times New Roman"/>
          <w:color w:val="000000"/>
          <w:sz w:val="28"/>
        </w:rPr>
      </w:pPr>
      <w:r>
        <w:rPr>
          <w:rFonts w:ascii="Times New Roman" w:hAnsi="Times New Roman"/>
          <w:sz w:val="28"/>
        </w:rPr>
        <w:t xml:space="preserve">к Порядку </w:t>
      </w:r>
      <w:r>
        <w:rPr>
          <w:rFonts w:ascii="Times New Roman" w:hAnsi="Times New Roman"/>
          <w:b w:val="0"/>
          <w:sz w:val="28"/>
        </w:rPr>
        <w:t>предоставления субсиди</w:t>
      </w:r>
      <w:r>
        <w:rPr>
          <w:rFonts w:ascii="Times New Roman" w:hAnsi="Times New Roman"/>
          <w:b w:val="0"/>
          <w:sz w:val="28"/>
        </w:rPr>
        <w:t>и</w:t>
      </w:r>
      <w:r>
        <w:rPr>
          <w:rFonts w:ascii="Times New Roman" w:hAnsi="Times New Roman"/>
          <w:b w:val="0"/>
          <w:sz w:val="28"/>
        </w:rPr>
        <w:t xml:space="preserve"> юридическим лицам (кроме некоммерческих организаций), индивидуальным предпринимателям – производителям товаров, работ, услуг и субсидии юридическим лицам, индивидуальным предпринимателям,</w:t>
      </w:r>
      <w:r>
        <w:rPr>
          <w:rFonts w:ascii="Times New Roman" w:hAnsi="Times New Roman"/>
          <w:b w:val="0"/>
          <w:sz w:val="28"/>
        </w:rPr>
        <w:t xml:space="preserve"> </w:t>
      </w:r>
      <w:r>
        <w:rPr>
          <w:rFonts w:ascii="Times New Roman" w:hAnsi="Times New Roman"/>
          <w:b w:val="0"/>
          <w:sz w:val="28"/>
        </w:rPr>
        <w:t>осуществляющим регулярные перевозки пассажиров и багажа автомобильным транспортом</w:t>
      </w:r>
      <w:r>
        <w:rPr>
          <w:rFonts w:ascii="Times New Roman" w:hAnsi="Times New Roman"/>
          <w:b w:val="0"/>
          <w:sz w:val="28"/>
        </w:rPr>
        <w:t xml:space="preserve"> по муниципальным маршрутам города Батайска на компенсацию </w:t>
      </w:r>
      <w:r>
        <w:rPr>
          <w:rFonts w:ascii="Times New Roman" w:hAnsi="Times New Roman"/>
          <w:b w:val="0"/>
          <w:sz w:val="28"/>
        </w:rPr>
        <w:t>выпадающих доходов из-за разницы между тарифом на перевозку пассажиров и багажа и экономически обоснованным тарифом</w:t>
      </w:r>
    </w:p>
    <w:p w14:paraId="3C010000">
      <w:pPr>
        <w:pStyle w:val="Style_3"/>
        <w:ind/>
        <w:jc w:val="right"/>
        <w:rPr>
          <w:rFonts w:ascii="Times New Roman" w:hAnsi="Times New Roman"/>
          <w:sz w:val="28"/>
        </w:rPr>
      </w:pPr>
    </w:p>
    <w:tbl>
      <w:tblPr>
        <w:tblStyle w:val="Style_4"/>
        <w:tblW w:type="auto" w:w="0"/>
        <w:tblInd w:type="dxa" w:w="108"/>
        <w:tblBorders>
          <w:top w:color="000000" w:sz="4" w:val="single"/>
          <w:left w:color="000000" w:sz="4" w:val="single"/>
          <w:bottom w:color="000000" w:sz="4" w:val="single"/>
          <w:right w:color="000000" w:sz="4" w:val="single"/>
        </w:tblBorders>
        <w:tblLayout w:type="fixed"/>
      </w:tblPr>
      <w:tblGrid>
        <w:gridCol w:w="979"/>
        <w:gridCol w:w="420"/>
        <w:gridCol w:w="1120"/>
        <w:gridCol w:w="315"/>
        <w:gridCol w:w="525"/>
        <w:gridCol w:w="280"/>
        <w:gridCol w:w="376"/>
        <w:gridCol w:w="379"/>
        <w:gridCol w:w="284"/>
        <w:gridCol w:w="641"/>
        <w:gridCol w:w="2858"/>
        <w:gridCol w:w="44"/>
        <w:gridCol w:w="993"/>
        <w:gridCol w:w="566"/>
      </w:tblGrid>
      <w:tr>
        <w:tc>
          <w:tcPr>
            <w:tcW w:type="dxa" w:w="4394"/>
            <w:gridSpan w:val="8"/>
            <w:tcBorders>
              <w:top w:sz="4" w:val="nil"/>
              <w:left w:sz="4" w:val="nil"/>
              <w:bottom w:sz="4" w:val="nil"/>
              <w:right w:sz="4" w:val="nil"/>
            </w:tcBorders>
          </w:tcPr>
          <w:p w14:paraId="3D010000">
            <w:pPr>
              <w:ind/>
              <w:jc w:val="both"/>
            </w:pPr>
            <w:bookmarkStart w:id="3" w:name="P178"/>
            <w:bookmarkEnd w:id="3"/>
          </w:p>
        </w:tc>
        <w:tc>
          <w:tcPr>
            <w:tcW w:type="dxa" w:w="4820"/>
            <w:gridSpan w:val="5"/>
            <w:tcBorders>
              <w:top w:sz="4" w:val="nil"/>
              <w:left w:sz="4" w:val="nil"/>
              <w:bottom w:sz="4" w:val="nil"/>
              <w:right w:sz="4" w:val="nil"/>
            </w:tcBorders>
          </w:tcPr>
          <w:p w14:paraId="3E010000">
            <w:pPr>
              <w:ind w:left="-108"/>
              <w:jc w:val="center"/>
            </w:pPr>
            <w:r>
              <w:t xml:space="preserve">В Администрацию </w:t>
            </w:r>
            <w:r>
              <w:t>города Батайска</w:t>
            </w:r>
          </w:p>
        </w:tc>
        <w:tc>
          <w:tcPr>
            <w:tcW w:type="dxa" w:w="566"/>
            <w:tcBorders>
              <w:top w:color="000000" w:sz="4" w:val="single"/>
              <w:left w:color="000000" w:sz="4" w:val="single"/>
              <w:bottom w:color="000000" w:sz="4" w:val="single"/>
              <w:right w:color="000000" w:sz="4" w:val="single"/>
            </w:tcBorders>
          </w:tcPr>
          <w:p/>
        </w:tc>
      </w:tr>
      <w:tr>
        <w:tc>
          <w:tcPr>
            <w:tcW w:type="dxa" w:w="4394"/>
            <w:gridSpan w:val="8"/>
            <w:tcBorders>
              <w:top w:sz="4" w:val="nil"/>
              <w:left w:sz="4" w:val="nil"/>
              <w:bottom w:sz="4" w:val="nil"/>
              <w:right w:sz="4" w:val="nil"/>
            </w:tcBorders>
          </w:tcPr>
          <w:p w14:paraId="3F010000">
            <w:pPr>
              <w:ind/>
              <w:jc w:val="both"/>
            </w:pPr>
          </w:p>
        </w:tc>
        <w:tc>
          <w:tcPr>
            <w:tcW w:type="dxa" w:w="4820"/>
            <w:gridSpan w:val="5"/>
            <w:tcBorders>
              <w:top w:sz="4" w:val="nil"/>
              <w:left w:sz="4" w:val="nil"/>
              <w:bottom w:color="000000" w:sz="4" w:val="single"/>
              <w:right w:sz="4" w:val="nil"/>
            </w:tcBorders>
          </w:tcPr>
          <w:p w14:paraId="40010000">
            <w:pPr>
              <w:ind w:left="-108"/>
            </w:pPr>
          </w:p>
        </w:tc>
        <w:tc>
          <w:tcPr>
            <w:tcW w:type="dxa" w:w="566"/>
            <w:tcBorders>
              <w:top w:color="000000" w:sz="4" w:val="single"/>
              <w:left w:color="000000" w:sz="4" w:val="single"/>
              <w:bottom w:color="000000" w:sz="4" w:val="single"/>
              <w:right w:color="000000" w:sz="4" w:val="single"/>
            </w:tcBorders>
          </w:tcPr>
          <w:p/>
        </w:tc>
      </w:tr>
      <w:tr>
        <w:tc>
          <w:tcPr>
            <w:tcW w:type="dxa" w:w="4394"/>
            <w:gridSpan w:val="8"/>
            <w:tcBorders>
              <w:top w:sz="4" w:val="nil"/>
              <w:left w:sz="4" w:val="nil"/>
              <w:bottom w:sz="4" w:val="nil"/>
              <w:right w:sz="4" w:val="nil"/>
            </w:tcBorders>
          </w:tcPr>
          <w:p w14:paraId="41010000">
            <w:pPr>
              <w:ind/>
              <w:jc w:val="both"/>
            </w:pPr>
          </w:p>
        </w:tc>
        <w:tc>
          <w:tcPr>
            <w:tcW w:type="dxa" w:w="4820"/>
            <w:gridSpan w:val="5"/>
            <w:tcBorders>
              <w:top w:color="000000" w:sz="4" w:val="single"/>
              <w:left w:sz="4" w:val="nil"/>
              <w:bottom w:sz="4" w:val="nil"/>
              <w:right w:sz="4" w:val="nil"/>
            </w:tcBorders>
          </w:tcPr>
          <w:p w14:paraId="42010000">
            <w:pPr>
              <w:ind w:left="-108"/>
              <w:jc w:val="center"/>
              <w:rPr>
                <w:sz w:val="24"/>
              </w:rPr>
            </w:pPr>
            <w:r>
              <w:rPr>
                <w:sz w:val="24"/>
              </w:rPr>
              <w:t>(Ф.И.О.)</w:t>
            </w:r>
          </w:p>
        </w:tc>
        <w:tc>
          <w:tcPr>
            <w:tcW w:type="dxa" w:w="566"/>
            <w:tcBorders>
              <w:top w:color="000000" w:sz="4" w:val="single"/>
              <w:left w:color="000000" w:sz="4" w:val="single"/>
              <w:bottom w:color="000000" w:sz="4" w:val="single"/>
              <w:right w:color="000000" w:sz="4" w:val="single"/>
            </w:tcBorders>
          </w:tcPr>
          <w:p/>
        </w:tc>
      </w:tr>
      <w:tr>
        <w:tc>
          <w:tcPr>
            <w:tcW w:type="dxa" w:w="4394"/>
            <w:gridSpan w:val="8"/>
            <w:tcBorders>
              <w:top w:sz="4" w:val="nil"/>
              <w:left w:sz="4" w:val="nil"/>
              <w:bottom w:sz="4" w:val="nil"/>
              <w:right w:sz="4" w:val="nil"/>
            </w:tcBorders>
          </w:tcPr>
          <w:p w14:paraId="43010000">
            <w:pPr>
              <w:ind/>
              <w:jc w:val="both"/>
            </w:pPr>
          </w:p>
        </w:tc>
        <w:tc>
          <w:tcPr>
            <w:tcW w:type="dxa" w:w="284"/>
            <w:tcBorders>
              <w:top w:sz="4" w:val="nil"/>
              <w:left w:sz="4" w:val="nil"/>
              <w:bottom w:color="000000" w:sz="4" w:val="single"/>
              <w:right w:sz="4" w:val="nil"/>
            </w:tcBorders>
          </w:tcPr>
          <w:p w14:paraId="44010000">
            <w:pPr>
              <w:ind w:left="-108"/>
            </w:pPr>
          </w:p>
        </w:tc>
        <w:tc>
          <w:tcPr>
            <w:tcW w:type="dxa" w:w="4536"/>
            <w:gridSpan w:val="4"/>
            <w:tcBorders>
              <w:top w:sz="4" w:val="nil"/>
              <w:left w:sz="4" w:val="nil"/>
              <w:bottom w:color="000000" w:sz="4" w:val="single"/>
              <w:right w:sz="4" w:val="nil"/>
            </w:tcBorders>
          </w:tcPr>
          <w:p w14:paraId="45010000">
            <w:pPr>
              <w:ind w:left="-108"/>
            </w:pPr>
          </w:p>
        </w:tc>
        <w:tc>
          <w:tcPr>
            <w:tcW w:type="dxa" w:w="566"/>
            <w:tcBorders>
              <w:top w:color="000000" w:sz="4" w:val="single"/>
              <w:left w:color="000000" w:sz="4" w:val="single"/>
              <w:bottom w:color="000000" w:sz="4" w:val="single"/>
              <w:right w:color="000000" w:sz="4" w:val="single"/>
            </w:tcBorders>
          </w:tcPr>
          <w:p/>
        </w:tc>
      </w:tr>
      <w:tr>
        <w:tc>
          <w:tcPr>
            <w:tcW w:type="dxa" w:w="4394"/>
            <w:gridSpan w:val="8"/>
            <w:tcBorders>
              <w:top w:sz="4" w:val="nil"/>
              <w:left w:sz="4" w:val="nil"/>
              <w:bottom w:sz="4" w:val="nil"/>
              <w:right w:sz="4" w:val="nil"/>
            </w:tcBorders>
          </w:tcPr>
          <w:p w14:paraId="46010000">
            <w:pPr>
              <w:ind/>
              <w:jc w:val="both"/>
            </w:pPr>
          </w:p>
        </w:tc>
        <w:tc>
          <w:tcPr>
            <w:tcW w:type="dxa" w:w="4820"/>
            <w:gridSpan w:val="5"/>
            <w:tcBorders>
              <w:top w:color="000000" w:sz="4" w:val="single"/>
              <w:left w:sz="4" w:val="nil"/>
              <w:bottom w:sz="4" w:val="nil"/>
              <w:right w:sz="4" w:val="nil"/>
            </w:tcBorders>
          </w:tcPr>
          <w:p w14:paraId="47010000">
            <w:pPr>
              <w:ind w:left="-108"/>
              <w:jc w:val="center"/>
              <w:rPr>
                <w:sz w:val="24"/>
              </w:rPr>
            </w:pPr>
            <w:r>
              <w:rPr>
                <w:sz w:val="24"/>
              </w:rPr>
              <w:t>(наименование организации)</w:t>
            </w:r>
          </w:p>
        </w:tc>
        <w:tc>
          <w:tcPr>
            <w:tcW w:type="dxa" w:w="566"/>
            <w:tcBorders>
              <w:top w:color="000000" w:sz="4" w:val="single"/>
              <w:left w:color="000000" w:sz="4" w:val="single"/>
              <w:bottom w:color="000000" w:sz="4" w:val="single"/>
              <w:right w:color="000000" w:sz="4" w:val="single"/>
            </w:tcBorders>
          </w:tcPr>
          <w:p/>
        </w:tc>
      </w:tr>
      <w:tr>
        <w:tc>
          <w:tcPr>
            <w:tcW w:type="dxa" w:w="4394"/>
            <w:gridSpan w:val="8"/>
            <w:tcBorders>
              <w:top w:sz="4" w:val="nil"/>
              <w:left w:sz="4" w:val="nil"/>
              <w:bottom w:sz="4" w:val="nil"/>
              <w:right w:sz="4" w:val="nil"/>
            </w:tcBorders>
          </w:tcPr>
          <w:p w14:paraId="48010000">
            <w:pPr>
              <w:ind/>
              <w:jc w:val="both"/>
            </w:pPr>
          </w:p>
        </w:tc>
        <w:tc>
          <w:tcPr>
            <w:tcW w:type="dxa" w:w="4820"/>
            <w:gridSpan w:val="5"/>
            <w:tcBorders>
              <w:top w:sz="4" w:val="nil"/>
              <w:left w:sz="4" w:val="nil"/>
              <w:bottom w:color="000000" w:sz="4" w:val="single"/>
              <w:right w:sz="4" w:val="nil"/>
            </w:tcBorders>
          </w:tcPr>
          <w:p w14:paraId="49010000">
            <w:pPr>
              <w:ind w:left="-108"/>
            </w:pPr>
          </w:p>
        </w:tc>
        <w:tc>
          <w:tcPr>
            <w:tcW w:type="dxa" w:w="566"/>
            <w:tcBorders>
              <w:top w:color="000000" w:sz="4" w:val="single"/>
              <w:left w:color="000000" w:sz="4" w:val="single"/>
              <w:bottom w:color="000000" w:sz="4" w:val="single"/>
              <w:right w:color="000000" w:sz="4" w:val="single"/>
            </w:tcBorders>
          </w:tcPr>
          <w:p/>
        </w:tc>
      </w:tr>
      <w:tr>
        <w:tc>
          <w:tcPr>
            <w:tcW w:type="dxa" w:w="4394"/>
            <w:gridSpan w:val="8"/>
            <w:tcBorders>
              <w:top w:sz="4" w:val="nil"/>
              <w:left w:sz="4" w:val="nil"/>
              <w:bottom w:sz="4" w:val="nil"/>
              <w:right w:sz="4" w:val="nil"/>
            </w:tcBorders>
          </w:tcPr>
          <w:p w14:paraId="4A010000">
            <w:pPr>
              <w:ind/>
              <w:jc w:val="both"/>
            </w:pPr>
          </w:p>
        </w:tc>
        <w:tc>
          <w:tcPr>
            <w:tcW w:type="dxa" w:w="4820"/>
            <w:gridSpan w:val="5"/>
            <w:tcBorders>
              <w:top w:color="000000" w:sz="4" w:val="single"/>
              <w:left w:sz="4" w:val="nil"/>
              <w:bottom w:sz="4" w:val="nil"/>
              <w:right w:sz="4" w:val="nil"/>
            </w:tcBorders>
          </w:tcPr>
          <w:p w14:paraId="4B010000">
            <w:pPr>
              <w:ind w:left="-108"/>
              <w:jc w:val="center"/>
              <w:rPr>
                <w:sz w:val="24"/>
              </w:rPr>
            </w:pPr>
            <w:r>
              <w:rPr>
                <w:sz w:val="24"/>
              </w:rPr>
              <w:t>(должность, Ф.И.О. руководителя)</w:t>
            </w:r>
          </w:p>
        </w:tc>
        <w:tc>
          <w:tcPr>
            <w:tcW w:type="dxa" w:w="566"/>
            <w:tcBorders>
              <w:top w:color="000000" w:sz="4" w:val="single"/>
              <w:left w:color="000000" w:sz="4" w:val="single"/>
              <w:bottom w:color="000000" w:sz="4" w:val="single"/>
              <w:right w:color="000000" w:sz="4" w:val="single"/>
            </w:tcBorders>
          </w:tcPr>
          <w:p/>
        </w:tc>
      </w:tr>
      <w:tr>
        <w:tc>
          <w:tcPr>
            <w:tcW w:type="dxa" w:w="9780"/>
            <w:gridSpan w:val="14"/>
            <w:tcBorders>
              <w:top w:sz="4" w:val="nil"/>
              <w:left w:sz="4" w:val="nil"/>
              <w:bottom w:sz="4" w:val="nil"/>
              <w:right w:sz="4" w:val="nil"/>
            </w:tcBorders>
          </w:tcPr>
          <w:p w14:paraId="4C010000">
            <w:pPr>
              <w:ind/>
              <w:jc w:val="both"/>
            </w:pPr>
          </w:p>
        </w:tc>
      </w:tr>
      <w:tr>
        <w:tc>
          <w:tcPr>
            <w:tcW w:type="dxa" w:w="9780"/>
            <w:gridSpan w:val="14"/>
            <w:tcBorders>
              <w:top w:sz="4" w:val="nil"/>
              <w:left w:sz="4" w:val="nil"/>
              <w:bottom w:sz="4" w:val="nil"/>
              <w:right w:sz="4" w:val="nil"/>
            </w:tcBorders>
          </w:tcPr>
          <w:p w14:paraId="4D010000">
            <w:pPr>
              <w:ind/>
              <w:jc w:val="center"/>
              <w:outlineLvl w:val="0"/>
            </w:pPr>
            <w:r>
              <w:t>Заявка на предоставление субсидии</w:t>
            </w:r>
          </w:p>
        </w:tc>
      </w:tr>
      <w:tr>
        <w:trPr>
          <w:trHeight w:hRule="atLeast" w:val="1728"/>
        </w:trPr>
        <w:tc>
          <w:tcPr>
            <w:tcW w:type="dxa" w:w="9780"/>
            <w:gridSpan w:val="14"/>
            <w:tcBorders>
              <w:top w:sz="4" w:val="nil"/>
              <w:left w:sz="4" w:val="nil"/>
              <w:bottom w:sz="4" w:val="nil"/>
              <w:right w:sz="4" w:val="nil"/>
            </w:tcBorders>
          </w:tcPr>
          <w:p w14:paraId="4E010000">
            <w:pPr>
              <w:ind/>
              <w:jc w:val="both"/>
            </w:pPr>
          </w:p>
          <w:p w14:paraId="4F010000">
            <w:pPr>
              <w:ind/>
              <w:jc w:val="both"/>
            </w:pPr>
            <w:r>
              <w:t xml:space="preserve">Прошу предоставить </w:t>
            </w:r>
            <w:r>
              <w:t>за</w:t>
            </w:r>
            <w:r>
              <w:t xml:space="preserve"> </w:t>
            </w:r>
            <w:r>
              <w:t xml:space="preserve">______________ </w:t>
            </w:r>
            <w:r>
              <w:t>20___</w:t>
            </w:r>
            <w:r>
              <w:t xml:space="preserve"> год</w:t>
            </w:r>
            <w:r>
              <w:t>а</w:t>
            </w:r>
            <w:r>
              <w:t xml:space="preserve"> субсидию </w:t>
            </w:r>
            <w:r>
              <w:t>на компенсацию выпадающих доходов из-за разницы между тарифом на перевозку пассажиров и багажа и экономически обоснованным тарифом по муниципальным маршрутам города Батайска</w:t>
            </w:r>
          </w:p>
          <w:p w14:paraId="50010000">
            <w:pPr>
              <w:ind/>
              <w:jc w:val="both"/>
            </w:pPr>
          </w:p>
          <w:p w14:paraId="51010000">
            <w:pPr>
              <w:ind/>
              <w:jc w:val="both"/>
              <w:rPr>
                <w:sz w:val="24"/>
              </w:rPr>
            </w:pPr>
            <w:r>
              <w:rPr>
                <w:sz w:val="24"/>
              </w:rPr>
              <w:t>____________________________________________________________________________</w:t>
            </w:r>
            <w:r>
              <w:rPr>
                <w:sz w:val="24"/>
              </w:rPr>
              <w:t>__</w:t>
            </w:r>
          </w:p>
          <w:p w14:paraId="52010000">
            <w:pPr>
              <w:ind/>
              <w:jc w:val="center"/>
              <w:rPr>
                <w:sz w:val="24"/>
              </w:rPr>
            </w:pPr>
            <w:r>
              <w:rPr>
                <w:sz w:val="24"/>
              </w:rPr>
              <w:t>(наименование организации)</w:t>
            </w:r>
          </w:p>
        </w:tc>
      </w:tr>
      <w:tr>
        <w:tc>
          <w:tcPr>
            <w:tcW w:type="dxa" w:w="1399"/>
            <w:gridSpan w:val="2"/>
            <w:tcBorders>
              <w:top w:sz="4" w:val="nil"/>
              <w:left w:sz="4" w:val="nil"/>
              <w:bottom w:sz="4" w:val="nil"/>
              <w:right w:sz="4" w:val="nil"/>
            </w:tcBorders>
          </w:tcPr>
          <w:p w14:paraId="53010000">
            <w:pPr>
              <w:ind/>
              <w:jc w:val="both"/>
            </w:pPr>
            <w:r>
              <w:t>в размере</w:t>
            </w:r>
          </w:p>
        </w:tc>
        <w:tc>
          <w:tcPr>
            <w:tcW w:type="dxa" w:w="1960"/>
            <w:gridSpan w:val="3"/>
            <w:tcBorders>
              <w:top w:sz="4" w:val="nil"/>
              <w:left w:sz="4" w:val="nil"/>
              <w:bottom w:color="000000" w:sz="4" w:val="single"/>
              <w:right w:sz="4" w:val="nil"/>
            </w:tcBorders>
          </w:tcPr>
          <w:p w14:paraId="54010000">
            <w:pPr>
              <w:ind/>
              <w:jc w:val="both"/>
            </w:pPr>
          </w:p>
        </w:tc>
        <w:tc>
          <w:tcPr>
            <w:tcW w:type="dxa" w:w="280"/>
            <w:tcBorders>
              <w:top w:sz="4" w:val="nil"/>
              <w:left w:sz="4" w:val="nil"/>
              <w:bottom w:sz="4" w:val="nil"/>
              <w:right w:sz="4" w:val="nil"/>
            </w:tcBorders>
          </w:tcPr>
          <w:p w14:paraId="55010000">
            <w:pPr>
              <w:ind/>
              <w:jc w:val="both"/>
            </w:pPr>
            <w:r>
              <w:t>(</w:t>
            </w:r>
          </w:p>
        </w:tc>
        <w:tc>
          <w:tcPr>
            <w:tcW w:type="dxa" w:w="4582"/>
            <w:gridSpan w:val="6"/>
            <w:tcBorders>
              <w:top w:sz="4" w:val="nil"/>
              <w:left w:sz="4" w:val="nil"/>
              <w:bottom w:color="000000" w:sz="4" w:val="single"/>
              <w:right w:sz="4" w:val="nil"/>
            </w:tcBorders>
          </w:tcPr>
          <w:p w14:paraId="56010000">
            <w:pPr>
              <w:ind/>
              <w:jc w:val="both"/>
            </w:pPr>
          </w:p>
        </w:tc>
        <w:tc>
          <w:tcPr>
            <w:tcW w:type="dxa" w:w="1559"/>
            <w:gridSpan w:val="2"/>
            <w:tcBorders>
              <w:top w:sz="4" w:val="nil"/>
              <w:left w:sz="4" w:val="nil"/>
              <w:bottom w:sz="4" w:val="nil"/>
              <w:right w:sz="4" w:val="nil"/>
            </w:tcBorders>
          </w:tcPr>
          <w:p w14:paraId="57010000">
            <w:pPr>
              <w:ind/>
              <w:jc w:val="both"/>
            </w:pPr>
            <w:r>
              <w:t>) рублей.</w:t>
            </w:r>
          </w:p>
        </w:tc>
      </w:tr>
      <w:tr>
        <w:tc>
          <w:tcPr>
            <w:tcW w:type="dxa" w:w="3359"/>
            <w:gridSpan w:val="5"/>
            <w:tcBorders>
              <w:top w:sz="4" w:val="nil"/>
              <w:left w:sz="4" w:val="nil"/>
              <w:bottom w:sz="4" w:val="nil"/>
              <w:right w:sz="4" w:val="nil"/>
            </w:tcBorders>
          </w:tcPr>
          <w:p w14:paraId="58010000">
            <w:pPr>
              <w:ind/>
              <w:jc w:val="both"/>
            </w:pPr>
          </w:p>
          <w:p w14:paraId="59010000">
            <w:pPr>
              <w:ind/>
              <w:jc w:val="both"/>
            </w:pPr>
            <w:r>
              <w:t>Банковские реквизиты</w:t>
            </w:r>
          </w:p>
        </w:tc>
        <w:tc>
          <w:tcPr>
            <w:tcW w:type="dxa" w:w="6421"/>
            <w:gridSpan w:val="9"/>
            <w:tcBorders>
              <w:top w:sz="4" w:val="nil"/>
              <w:left w:sz="4" w:val="nil"/>
              <w:bottom w:color="000000" w:sz="4" w:val="single"/>
              <w:right w:sz="4" w:val="nil"/>
            </w:tcBorders>
          </w:tcPr>
          <w:p w14:paraId="5A010000">
            <w:pPr>
              <w:tabs>
                <w:tab w:leader="none" w:pos="3855" w:val="left"/>
              </w:tabs>
              <w:ind/>
              <w:jc w:val="both"/>
            </w:pPr>
          </w:p>
        </w:tc>
      </w:tr>
      <w:tr>
        <w:tc>
          <w:tcPr>
            <w:tcW w:type="dxa" w:w="9780"/>
            <w:gridSpan w:val="14"/>
            <w:tcBorders>
              <w:top w:sz="4" w:val="nil"/>
              <w:left w:sz="4" w:val="nil"/>
              <w:bottom w:sz="4" w:val="nil"/>
              <w:right w:sz="4" w:val="nil"/>
            </w:tcBorders>
          </w:tcPr>
          <w:p w14:paraId="5B010000">
            <w:pPr>
              <w:ind/>
              <w:jc w:val="both"/>
            </w:pPr>
            <w:r>
              <w:t>ОГРН___________________ИНН/КПП________________________________</w:t>
            </w:r>
          </w:p>
        </w:tc>
      </w:tr>
      <w:tr>
        <w:tc>
          <w:tcPr>
            <w:tcW w:type="dxa" w:w="2519"/>
            <w:gridSpan w:val="3"/>
            <w:tcBorders>
              <w:top w:sz="4" w:val="nil"/>
              <w:left w:sz="4" w:val="nil"/>
              <w:bottom w:sz="4" w:val="nil"/>
              <w:right w:sz="4" w:val="nil"/>
            </w:tcBorders>
          </w:tcPr>
          <w:p w14:paraId="5C010000">
            <w:pPr>
              <w:ind/>
              <w:jc w:val="both"/>
            </w:pPr>
            <w:r>
              <w:t>Расчетный счет</w:t>
            </w:r>
          </w:p>
        </w:tc>
        <w:tc>
          <w:tcPr>
            <w:tcW w:type="dxa" w:w="7261"/>
            <w:gridSpan w:val="11"/>
            <w:tcBorders>
              <w:top w:sz="4" w:val="nil"/>
              <w:left w:sz="4" w:val="nil"/>
              <w:bottom w:color="000000" w:sz="4" w:val="single"/>
              <w:right w:sz="4" w:val="nil"/>
            </w:tcBorders>
          </w:tcPr>
          <w:p w14:paraId="5D010000">
            <w:pPr>
              <w:ind/>
              <w:jc w:val="both"/>
            </w:pPr>
          </w:p>
        </w:tc>
      </w:tr>
      <w:tr>
        <w:tc>
          <w:tcPr>
            <w:tcW w:type="dxa" w:w="3359"/>
            <w:gridSpan w:val="5"/>
            <w:tcBorders>
              <w:top w:sz="4" w:val="nil"/>
              <w:left w:sz="4" w:val="nil"/>
              <w:bottom w:sz="4" w:val="nil"/>
              <w:right w:sz="4" w:val="nil"/>
            </w:tcBorders>
          </w:tcPr>
          <w:p w14:paraId="5E010000">
            <w:pPr>
              <w:ind/>
              <w:jc w:val="both"/>
            </w:pPr>
            <w:r>
              <w:t>Наименование банка</w:t>
            </w:r>
          </w:p>
        </w:tc>
        <w:tc>
          <w:tcPr>
            <w:tcW w:type="dxa" w:w="6421"/>
            <w:gridSpan w:val="9"/>
            <w:tcBorders>
              <w:top w:sz="4" w:val="nil"/>
              <w:left w:sz="4" w:val="nil"/>
              <w:bottom w:color="000000" w:sz="4" w:val="single"/>
              <w:right w:sz="4" w:val="nil"/>
            </w:tcBorders>
          </w:tcPr>
          <w:p w14:paraId="5F010000">
            <w:pPr>
              <w:ind/>
              <w:jc w:val="both"/>
            </w:pPr>
          </w:p>
        </w:tc>
      </w:tr>
      <w:tr>
        <w:tc>
          <w:tcPr>
            <w:tcW w:type="dxa" w:w="979"/>
            <w:tcBorders>
              <w:top w:sz="4" w:val="nil"/>
              <w:left w:sz="4" w:val="nil"/>
              <w:bottom w:sz="4" w:val="nil"/>
              <w:right w:sz="4" w:val="nil"/>
            </w:tcBorders>
          </w:tcPr>
          <w:p w14:paraId="60010000">
            <w:pPr>
              <w:ind/>
              <w:jc w:val="both"/>
            </w:pPr>
            <w:r>
              <w:fldChar w:fldCharType="begin"/>
            </w:r>
            <w:r>
              <w:instrText>HYPERLINK "garantF1://455333.0"</w:instrText>
            </w:r>
            <w:r>
              <w:fldChar w:fldCharType="separate"/>
            </w:r>
            <w:r>
              <w:t>БИК</w:t>
            </w:r>
            <w:r>
              <w:fldChar w:fldCharType="end"/>
            </w:r>
          </w:p>
        </w:tc>
        <w:tc>
          <w:tcPr>
            <w:tcW w:type="dxa" w:w="1855"/>
            <w:gridSpan w:val="3"/>
            <w:tcBorders>
              <w:top w:sz="4" w:val="nil"/>
              <w:left w:sz="4" w:val="nil"/>
              <w:bottom w:color="000000" w:sz="4" w:val="single"/>
              <w:right w:sz="4" w:val="nil"/>
            </w:tcBorders>
          </w:tcPr>
          <w:p w14:paraId="61010000">
            <w:pPr>
              <w:ind/>
              <w:jc w:val="both"/>
            </w:pPr>
          </w:p>
        </w:tc>
        <w:tc>
          <w:tcPr>
            <w:tcW w:type="dxa" w:w="1844"/>
            <w:gridSpan w:val="5"/>
            <w:tcBorders>
              <w:top w:sz="4" w:val="nil"/>
              <w:left w:sz="4" w:val="nil"/>
              <w:bottom w:sz="4" w:val="nil"/>
              <w:right w:sz="4" w:val="nil"/>
            </w:tcBorders>
          </w:tcPr>
          <w:p w14:paraId="62010000">
            <w:pPr>
              <w:ind/>
              <w:jc w:val="both"/>
            </w:pPr>
            <w:r>
              <w:t xml:space="preserve">    </w:t>
            </w:r>
            <w:r>
              <w:t>Корр</w:t>
            </w:r>
            <w:r>
              <w:t>.</w:t>
            </w:r>
            <w:r>
              <w:t xml:space="preserve"> счет</w:t>
            </w:r>
          </w:p>
        </w:tc>
        <w:tc>
          <w:tcPr>
            <w:tcW w:type="dxa" w:w="5102"/>
            <w:gridSpan w:val="5"/>
            <w:tcBorders>
              <w:top w:sz="4" w:val="nil"/>
              <w:left w:sz="4" w:val="nil"/>
              <w:bottom w:color="000000" w:sz="4" w:val="single"/>
              <w:right w:sz="4" w:val="nil"/>
            </w:tcBorders>
          </w:tcPr>
          <w:p w14:paraId="63010000">
            <w:pPr>
              <w:ind/>
              <w:jc w:val="both"/>
            </w:pPr>
          </w:p>
        </w:tc>
      </w:tr>
      <w:tr>
        <w:tc>
          <w:tcPr>
            <w:tcW w:type="dxa" w:w="9780"/>
            <w:gridSpan w:val="14"/>
            <w:tcBorders>
              <w:top w:sz="4" w:val="nil"/>
              <w:left w:sz="4" w:val="nil"/>
              <w:bottom w:sz="4" w:val="nil"/>
              <w:right w:sz="4" w:val="nil"/>
            </w:tcBorders>
          </w:tcPr>
          <w:p w14:paraId="64010000">
            <w:pPr>
              <w:ind/>
              <w:jc w:val="both"/>
            </w:pPr>
          </w:p>
        </w:tc>
      </w:tr>
      <w:tr>
        <w:tc>
          <w:tcPr>
            <w:tcW w:type="dxa" w:w="2519"/>
            <w:gridSpan w:val="3"/>
            <w:tcBorders>
              <w:top w:sz="4" w:val="nil"/>
              <w:left w:sz="4" w:val="nil"/>
              <w:bottom w:sz="4" w:val="nil"/>
              <w:right w:sz="4" w:val="nil"/>
            </w:tcBorders>
          </w:tcPr>
          <w:p w14:paraId="65010000">
            <w:pPr>
              <w:ind/>
              <w:jc w:val="both"/>
            </w:pPr>
            <w:r>
              <w:t>Руководитель</w:t>
            </w:r>
          </w:p>
        </w:tc>
        <w:tc>
          <w:tcPr>
            <w:tcW w:type="dxa" w:w="1496"/>
            <w:gridSpan w:val="4"/>
            <w:tcBorders>
              <w:top w:sz="4" w:val="nil"/>
              <w:left w:sz="4" w:val="nil"/>
              <w:bottom w:color="000000" w:sz="4" w:val="single"/>
              <w:right w:sz="4" w:val="nil"/>
            </w:tcBorders>
          </w:tcPr>
          <w:p w14:paraId="66010000">
            <w:pPr>
              <w:ind/>
              <w:jc w:val="both"/>
            </w:pPr>
          </w:p>
        </w:tc>
        <w:tc>
          <w:tcPr>
            <w:tcW w:type="dxa" w:w="1304"/>
            <w:gridSpan w:val="3"/>
            <w:tcBorders>
              <w:top w:sz="4" w:val="nil"/>
              <w:left w:sz="4" w:val="nil"/>
              <w:bottom w:sz="4" w:val="nil"/>
              <w:right w:sz="4" w:val="nil"/>
            </w:tcBorders>
          </w:tcPr>
          <w:p w14:paraId="67010000">
            <w:pPr>
              <w:ind/>
              <w:jc w:val="both"/>
            </w:pPr>
          </w:p>
        </w:tc>
        <w:tc>
          <w:tcPr>
            <w:tcW w:type="dxa" w:w="2858"/>
            <w:tcBorders>
              <w:top w:sz="4" w:val="nil"/>
              <w:left w:sz="4" w:val="nil"/>
              <w:bottom w:color="000000" w:sz="4" w:val="single"/>
              <w:right w:sz="4" w:val="nil"/>
            </w:tcBorders>
          </w:tcPr>
          <w:p w14:paraId="68010000">
            <w:pPr>
              <w:ind/>
              <w:jc w:val="both"/>
            </w:pPr>
          </w:p>
        </w:tc>
        <w:tc>
          <w:tcPr>
            <w:tcW w:type="dxa" w:w="1603"/>
            <w:gridSpan w:val="3"/>
            <w:tcBorders>
              <w:top w:sz="4" w:val="nil"/>
              <w:left w:sz="4" w:val="nil"/>
              <w:bottom w:sz="4" w:val="nil"/>
              <w:right w:sz="4" w:val="nil"/>
            </w:tcBorders>
          </w:tcPr>
          <w:p w14:paraId="69010000">
            <w:pPr>
              <w:ind/>
              <w:jc w:val="both"/>
            </w:pPr>
          </w:p>
        </w:tc>
      </w:tr>
      <w:tr>
        <w:tc>
          <w:tcPr>
            <w:tcW w:type="dxa" w:w="2519"/>
            <w:gridSpan w:val="3"/>
            <w:tcBorders>
              <w:top w:sz="4" w:val="nil"/>
              <w:left w:sz="4" w:val="nil"/>
              <w:bottom w:sz="4" w:val="nil"/>
              <w:right w:sz="4" w:val="nil"/>
            </w:tcBorders>
          </w:tcPr>
          <w:p w14:paraId="6A010000">
            <w:pPr>
              <w:ind/>
              <w:jc w:val="both"/>
            </w:pPr>
          </w:p>
        </w:tc>
        <w:tc>
          <w:tcPr>
            <w:tcW w:type="dxa" w:w="1496"/>
            <w:gridSpan w:val="4"/>
            <w:tcBorders>
              <w:top w:sz="4" w:val="nil"/>
              <w:left w:sz="4" w:val="nil"/>
              <w:bottom w:sz="4" w:val="nil"/>
              <w:right w:sz="4" w:val="nil"/>
            </w:tcBorders>
          </w:tcPr>
          <w:p w14:paraId="6B010000">
            <w:pPr>
              <w:ind/>
              <w:jc w:val="center"/>
              <w:rPr>
                <w:sz w:val="24"/>
              </w:rPr>
            </w:pPr>
            <w:r>
              <w:rPr>
                <w:sz w:val="24"/>
              </w:rPr>
              <w:t>(подпись)</w:t>
            </w:r>
          </w:p>
        </w:tc>
        <w:tc>
          <w:tcPr>
            <w:tcW w:type="dxa" w:w="1304"/>
            <w:gridSpan w:val="3"/>
            <w:tcBorders>
              <w:top w:sz="4" w:val="nil"/>
              <w:left w:sz="4" w:val="nil"/>
              <w:bottom w:sz="4" w:val="nil"/>
              <w:right w:sz="4" w:val="nil"/>
            </w:tcBorders>
          </w:tcPr>
          <w:p w14:paraId="6C010000">
            <w:pPr>
              <w:ind/>
              <w:jc w:val="both"/>
            </w:pPr>
          </w:p>
        </w:tc>
        <w:tc>
          <w:tcPr>
            <w:tcW w:type="dxa" w:w="2858"/>
            <w:tcBorders>
              <w:top w:sz="4" w:val="nil"/>
              <w:left w:sz="4" w:val="nil"/>
              <w:bottom w:sz="4" w:val="nil"/>
              <w:right w:sz="4" w:val="nil"/>
            </w:tcBorders>
          </w:tcPr>
          <w:p w14:paraId="6D010000">
            <w:pPr>
              <w:ind/>
              <w:jc w:val="center"/>
              <w:rPr>
                <w:sz w:val="24"/>
              </w:rPr>
            </w:pPr>
            <w:r>
              <w:rPr>
                <w:sz w:val="24"/>
              </w:rPr>
              <w:t>(Ф.И.О.)</w:t>
            </w:r>
          </w:p>
        </w:tc>
        <w:tc>
          <w:tcPr>
            <w:tcW w:type="dxa" w:w="1603"/>
            <w:gridSpan w:val="3"/>
            <w:tcBorders>
              <w:top w:sz="4" w:val="nil"/>
              <w:left w:sz="4" w:val="nil"/>
              <w:bottom w:sz="4" w:val="nil"/>
              <w:right w:sz="4" w:val="nil"/>
            </w:tcBorders>
          </w:tcPr>
          <w:p w14:paraId="6E010000">
            <w:pPr>
              <w:ind/>
              <w:jc w:val="both"/>
            </w:pPr>
          </w:p>
        </w:tc>
      </w:tr>
      <w:tr>
        <w:tc>
          <w:tcPr>
            <w:tcW w:type="dxa" w:w="9780"/>
            <w:gridSpan w:val="14"/>
            <w:tcBorders>
              <w:top w:sz="4" w:val="nil"/>
              <w:left w:sz="4" w:val="nil"/>
              <w:bottom w:sz="4" w:val="nil"/>
              <w:right w:sz="4" w:val="nil"/>
            </w:tcBorders>
          </w:tcPr>
          <w:p w14:paraId="6F010000">
            <w:pPr>
              <w:ind/>
              <w:jc w:val="both"/>
            </w:pPr>
          </w:p>
        </w:tc>
      </w:tr>
      <w:tr>
        <w:tc>
          <w:tcPr>
            <w:tcW w:type="dxa" w:w="2519"/>
            <w:gridSpan w:val="3"/>
            <w:tcBorders>
              <w:top w:sz="4" w:val="nil"/>
              <w:left w:sz="4" w:val="nil"/>
              <w:bottom w:sz="4" w:val="nil"/>
              <w:right w:sz="4" w:val="nil"/>
            </w:tcBorders>
          </w:tcPr>
          <w:p w14:paraId="70010000">
            <w:pPr>
              <w:ind/>
              <w:jc w:val="both"/>
            </w:pPr>
            <w:r>
              <w:t>Главный бухгалтер</w:t>
            </w:r>
          </w:p>
        </w:tc>
        <w:tc>
          <w:tcPr>
            <w:tcW w:type="dxa" w:w="1496"/>
            <w:gridSpan w:val="4"/>
            <w:tcBorders>
              <w:top w:sz="4" w:val="nil"/>
              <w:left w:sz="4" w:val="nil"/>
              <w:bottom w:color="000000" w:sz="4" w:val="single"/>
              <w:right w:sz="4" w:val="nil"/>
            </w:tcBorders>
          </w:tcPr>
          <w:p w14:paraId="71010000">
            <w:pPr>
              <w:ind/>
              <w:jc w:val="both"/>
            </w:pPr>
          </w:p>
        </w:tc>
        <w:tc>
          <w:tcPr>
            <w:tcW w:type="dxa" w:w="1304"/>
            <w:gridSpan w:val="3"/>
            <w:tcBorders>
              <w:top w:sz="4" w:val="nil"/>
              <w:left w:sz="4" w:val="nil"/>
              <w:bottom w:sz="4" w:val="nil"/>
              <w:right w:sz="4" w:val="nil"/>
            </w:tcBorders>
          </w:tcPr>
          <w:p w14:paraId="72010000">
            <w:pPr>
              <w:ind/>
              <w:jc w:val="both"/>
            </w:pPr>
          </w:p>
        </w:tc>
        <w:tc>
          <w:tcPr>
            <w:tcW w:type="dxa" w:w="2858"/>
            <w:tcBorders>
              <w:top w:sz="4" w:val="nil"/>
              <w:left w:sz="4" w:val="nil"/>
              <w:bottom w:color="000000" w:sz="4" w:val="single"/>
              <w:right w:sz="4" w:val="nil"/>
            </w:tcBorders>
          </w:tcPr>
          <w:p w14:paraId="73010000">
            <w:pPr>
              <w:ind/>
              <w:jc w:val="both"/>
            </w:pPr>
          </w:p>
        </w:tc>
        <w:tc>
          <w:tcPr>
            <w:tcW w:type="dxa" w:w="1603"/>
            <w:gridSpan w:val="3"/>
            <w:tcBorders>
              <w:top w:sz="4" w:val="nil"/>
              <w:left w:sz="4" w:val="nil"/>
              <w:bottom w:sz="4" w:val="nil"/>
              <w:right w:sz="4" w:val="nil"/>
            </w:tcBorders>
          </w:tcPr>
          <w:p w14:paraId="74010000">
            <w:pPr>
              <w:ind/>
              <w:jc w:val="both"/>
            </w:pPr>
          </w:p>
        </w:tc>
      </w:tr>
      <w:tr>
        <w:tc>
          <w:tcPr>
            <w:tcW w:type="dxa" w:w="2519"/>
            <w:gridSpan w:val="3"/>
            <w:tcBorders>
              <w:top w:sz="4" w:val="nil"/>
              <w:left w:sz="4" w:val="nil"/>
              <w:bottom w:sz="4" w:val="nil"/>
              <w:right w:sz="4" w:val="nil"/>
            </w:tcBorders>
          </w:tcPr>
          <w:p w14:paraId="75010000">
            <w:pPr>
              <w:ind/>
              <w:jc w:val="both"/>
            </w:pPr>
          </w:p>
        </w:tc>
        <w:tc>
          <w:tcPr>
            <w:tcW w:type="dxa" w:w="1496"/>
            <w:gridSpan w:val="4"/>
            <w:tcBorders>
              <w:top w:sz="4" w:val="nil"/>
              <w:left w:sz="4" w:val="nil"/>
              <w:bottom w:sz="4" w:val="nil"/>
              <w:right w:sz="4" w:val="nil"/>
            </w:tcBorders>
          </w:tcPr>
          <w:p w14:paraId="76010000">
            <w:pPr>
              <w:ind/>
              <w:jc w:val="center"/>
              <w:rPr>
                <w:sz w:val="24"/>
              </w:rPr>
            </w:pPr>
            <w:r>
              <w:rPr>
                <w:sz w:val="24"/>
              </w:rPr>
              <w:t>(подпись)</w:t>
            </w:r>
          </w:p>
        </w:tc>
        <w:tc>
          <w:tcPr>
            <w:tcW w:type="dxa" w:w="1304"/>
            <w:gridSpan w:val="3"/>
            <w:tcBorders>
              <w:top w:sz="4" w:val="nil"/>
              <w:left w:sz="4" w:val="nil"/>
              <w:bottom w:sz="4" w:val="nil"/>
              <w:right w:sz="4" w:val="nil"/>
            </w:tcBorders>
          </w:tcPr>
          <w:p w14:paraId="77010000">
            <w:pPr>
              <w:ind/>
              <w:jc w:val="both"/>
            </w:pPr>
          </w:p>
        </w:tc>
        <w:tc>
          <w:tcPr>
            <w:tcW w:type="dxa" w:w="2858"/>
            <w:tcBorders>
              <w:top w:sz="4" w:val="nil"/>
              <w:left w:sz="4" w:val="nil"/>
              <w:bottom w:sz="4" w:val="nil"/>
              <w:right w:sz="4" w:val="nil"/>
            </w:tcBorders>
          </w:tcPr>
          <w:p w14:paraId="78010000">
            <w:pPr>
              <w:ind/>
              <w:jc w:val="center"/>
              <w:rPr>
                <w:sz w:val="24"/>
              </w:rPr>
            </w:pPr>
            <w:r>
              <w:rPr>
                <w:sz w:val="24"/>
              </w:rPr>
              <w:t>(Ф.И.О.)</w:t>
            </w:r>
          </w:p>
        </w:tc>
        <w:tc>
          <w:tcPr>
            <w:tcW w:type="dxa" w:w="1603"/>
            <w:gridSpan w:val="3"/>
            <w:tcBorders>
              <w:top w:sz="4" w:val="nil"/>
              <w:left w:sz="4" w:val="nil"/>
              <w:bottom w:sz="4" w:val="nil"/>
              <w:right w:sz="4" w:val="nil"/>
            </w:tcBorders>
          </w:tcPr>
          <w:p w14:paraId="79010000">
            <w:pPr>
              <w:ind/>
              <w:jc w:val="both"/>
            </w:pPr>
          </w:p>
        </w:tc>
      </w:tr>
      <w:tr>
        <w:tc>
          <w:tcPr>
            <w:tcW w:type="dxa" w:w="9780"/>
            <w:gridSpan w:val="14"/>
            <w:tcBorders>
              <w:top w:sz="4" w:val="nil"/>
              <w:left w:sz="4" w:val="nil"/>
              <w:bottom w:sz="4" w:val="nil"/>
              <w:right w:sz="4" w:val="nil"/>
            </w:tcBorders>
          </w:tcPr>
          <w:p w14:paraId="7A010000">
            <w:pPr>
              <w:ind/>
              <w:jc w:val="both"/>
            </w:pPr>
            <w:r>
              <w:t>Дата</w:t>
            </w:r>
          </w:p>
          <w:p w14:paraId="7B010000">
            <w:pPr>
              <w:ind/>
              <w:jc w:val="both"/>
            </w:pPr>
            <w:r>
              <w:t>М.П.</w:t>
            </w:r>
          </w:p>
        </w:tc>
      </w:tr>
    </w:tbl>
    <w:p w14:paraId="7C010000">
      <w:pPr>
        <w:sectPr>
          <w:headerReference r:id="rId3" w:type="default"/>
          <w:pgSz w:h="16838" w:orient="portrait" w:w="11906"/>
          <w:pgMar w:bottom="993" w:footer="709" w:gutter="0" w:header="709" w:left="1701" w:right="851" w:top="1134"/>
        </w:sectPr>
      </w:pPr>
    </w:p>
    <w:p w14:paraId="7D010000">
      <w:pPr>
        <w:pStyle w:val="Style_3"/>
        <w:ind w:left="9072"/>
        <w:jc w:val="center"/>
        <w:outlineLvl w:val="1"/>
        <w:rPr>
          <w:rFonts w:ascii="Times New Roman" w:hAnsi="Times New Roman"/>
          <w:sz w:val="28"/>
        </w:rPr>
      </w:pPr>
      <w:r>
        <w:rPr>
          <w:rFonts w:ascii="Times New Roman" w:hAnsi="Times New Roman"/>
          <w:sz w:val="28"/>
        </w:rPr>
        <w:t>Приложение № 3</w:t>
      </w:r>
    </w:p>
    <w:p w14:paraId="7E010000">
      <w:pPr>
        <w:pStyle w:val="Style_3"/>
        <w:ind w:left="9072"/>
        <w:jc w:val="center"/>
        <w:rPr>
          <w:rFonts w:ascii="Times New Roman" w:hAnsi="Times New Roman"/>
          <w:sz w:val="28"/>
        </w:rPr>
      </w:pPr>
      <w:r>
        <w:rPr>
          <w:rFonts w:ascii="Times New Roman" w:hAnsi="Times New Roman"/>
          <w:sz w:val="28"/>
        </w:rPr>
        <w:t xml:space="preserve">к Порядку </w:t>
      </w:r>
      <w:r>
        <w:rPr>
          <w:rFonts w:ascii="Times New Roman" w:hAnsi="Times New Roman"/>
          <w:b w:val="0"/>
          <w:sz w:val="28"/>
        </w:rPr>
        <w:t>предоставления субсиди</w:t>
      </w:r>
      <w:r>
        <w:rPr>
          <w:rFonts w:ascii="Times New Roman" w:hAnsi="Times New Roman"/>
          <w:b w:val="0"/>
          <w:sz w:val="28"/>
        </w:rPr>
        <w:t>и</w:t>
      </w:r>
      <w:r>
        <w:rPr>
          <w:rFonts w:ascii="Times New Roman" w:hAnsi="Times New Roman"/>
          <w:b w:val="0"/>
          <w:sz w:val="28"/>
        </w:rPr>
        <w:t xml:space="preserve"> юридическим лицам (кроме некоммерческих организаций), индивидуальным предпринимателям – производителям товаров, работ, услуг и субсидии юридическим лицам, индивидуальным предпринимателям,</w:t>
      </w:r>
      <w:r>
        <w:rPr>
          <w:rFonts w:ascii="Times New Roman" w:hAnsi="Times New Roman"/>
          <w:b w:val="0"/>
          <w:sz w:val="28"/>
        </w:rPr>
        <w:t xml:space="preserve"> </w:t>
      </w:r>
      <w:r>
        <w:rPr>
          <w:rFonts w:ascii="Times New Roman" w:hAnsi="Times New Roman"/>
          <w:b w:val="0"/>
          <w:sz w:val="28"/>
        </w:rPr>
        <w:t>осуществляющим регулярные перевозки пассажиров и багажа автомобильным транспортом</w:t>
      </w:r>
      <w:r>
        <w:rPr>
          <w:rFonts w:ascii="Times New Roman" w:hAnsi="Times New Roman"/>
          <w:b w:val="0"/>
          <w:sz w:val="28"/>
        </w:rPr>
        <w:t xml:space="preserve"> по муниципальным маршрутам города Батайска на компенсацию </w:t>
      </w:r>
      <w:r>
        <w:rPr>
          <w:rFonts w:ascii="Times New Roman" w:hAnsi="Times New Roman"/>
          <w:b w:val="0"/>
          <w:sz w:val="28"/>
        </w:rPr>
        <w:t>выпадающих доходов из-за разницы между тарифом на перевозку пассажиров и багажа и экономически обоснованным тарифом</w:t>
      </w:r>
    </w:p>
    <w:p w14:paraId="7F010000">
      <w:pPr>
        <w:ind/>
        <w:jc w:val="center"/>
        <w:rPr>
          <w:rFonts w:ascii="Times New Roman" w:hAnsi="Times New Roman"/>
          <w:sz w:val="28"/>
        </w:rPr>
      </w:pPr>
    </w:p>
    <w:p w14:paraId="80010000">
      <w:pPr>
        <w:ind/>
        <w:jc w:val="center"/>
      </w:pPr>
      <w:r>
        <w:t>ИНФОРМАЦИЯ</w:t>
      </w:r>
    </w:p>
    <w:p w14:paraId="81010000">
      <w:pPr>
        <w:ind/>
        <w:jc w:val="center"/>
      </w:pPr>
      <w:r>
        <w:t xml:space="preserve">о количестве перевезенных пассажиров </w:t>
      </w:r>
      <w:r>
        <w:t>городским</w:t>
      </w:r>
    </w:p>
    <w:p w14:paraId="82010000">
      <w:pPr>
        <w:ind/>
        <w:jc w:val="center"/>
      </w:pPr>
      <w:r>
        <w:t>автомобильным транспортом</w:t>
      </w:r>
      <w:r>
        <w:t xml:space="preserve"> </w:t>
      </w:r>
      <w:r>
        <w:t>по муниципальным маршрутам города Батайска</w:t>
      </w:r>
    </w:p>
    <w:p w14:paraId="83010000">
      <w:pPr>
        <w:ind/>
        <w:jc w:val="center"/>
        <w:rPr>
          <w:sz w:val="20"/>
        </w:rPr>
      </w:pPr>
    </w:p>
    <w:p w14:paraId="84010000">
      <w:pPr>
        <w:ind/>
        <w:jc w:val="center"/>
        <w:outlineLvl w:val="0"/>
        <w:rPr>
          <w:sz w:val="24"/>
        </w:rPr>
      </w:pPr>
      <w:r>
        <w:rPr>
          <w:sz w:val="24"/>
        </w:rPr>
        <w:t>по</w:t>
      </w:r>
      <w:r>
        <w:rPr>
          <w:sz w:val="24"/>
        </w:rPr>
        <w:t xml:space="preserve"> _________________________________________ за _________________ 20___ год</w:t>
      </w:r>
      <w:r>
        <w:rPr>
          <w:sz w:val="24"/>
        </w:rPr>
        <w:t>а</w:t>
      </w:r>
    </w:p>
    <w:p w14:paraId="85010000">
      <w:pPr>
        <w:ind w:firstLine="3969"/>
        <w:jc w:val="both"/>
        <w:outlineLvl w:val="0"/>
        <w:rPr>
          <w:sz w:val="24"/>
        </w:rPr>
      </w:pPr>
      <w:r>
        <w:rPr>
          <w:sz w:val="24"/>
        </w:rPr>
        <w:t xml:space="preserve">(наименование предприятия)         </w:t>
      </w:r>
      <w:r>
        <w:rPr>
          <w:sz w:val="24"/>
        </w:rPr>
        <w:t xml:space="preserve">                         </w:t>
      </w:r>
      <w:r>
        <w:rPr>
          <w:sz w:val="24"/>
        </w:rPr>
        <w:t xml:space="preserve">         (период)</w:t>
      </w:r>
    </w:p>
    <w:p w14:paraId="86010000">
      <w:pPr>
        <w:ind/>
        <w:jc w:val="center"/>
        <w:rPr>
          <w:sz w:val="24"/>
        </w:rPr>
      </w:pPr>
    </w:p>
    <w:tbl>
      <w:tblPr>
        <w:tblStyle w:val="Style_4"/>
        <w:tblW w:type="auto" w:w="0"/>
        <w:tblLayout w:type="fixed"/>
        <w:tblCellMar>
          <w:top w:type="dxa" w:w="102"/>
          <w:left w:type="dxa" w:w="62"/>
          <w:bottom w:type="dxa" w:w="102"/>
          <w:right w:type="dxa" w:w="62"/>
        </w:tblCellMar>
      </w:tblPr>
      <w:tblGrid>
        <w:gridCol w:w="510"/>
        <w:gridCol w:w="3521"/>
        <w:gridCol w:w="849"/>
        <w:gridCol w:w="1304"/>
        <w:gridCol w:w="1757"/>
        <w:gridCol w:w="1474"/>
        <w:gridCol w:w="2696"/>
        <w:gridCol w:w="2835"/>
      </w:tblGrid>
      <w:tr>
        <w:tc>
          <w:tcPr>
            <w:tcW w:type="dxa" w:w="510"/>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87010000">
            <w:pPr>
              <w:ind/>
              <w:jc w:val="center"/>
              <w:rPr>
                <w:sz w:val="24"/>
              </w:rPr>
            </w:pPr>
          </w:p>
        </w:tc>
        <w:tc>
          <w:tcPr>
            <w:tcW w:type="dxa" w:w="3521"/>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88010000">
            <w:pPr>
              <w:ind/>
              <w:jc w:val="center"/>
              <w:rPr>
                <w:sz w:val="24"/>
              </w:rPr>
            </w:pPr>
            <w:r>
              <w:rPr>
                <w:sz w:val="24"/>
              </w:rPr>
              <w:t>Наименование</w:t>
            </w:r>
          </w:p>
        </w:tc>
        <w:tc>
          <w:tcPr>
            <w:tcW w:type="dxa" w:w="5384"/>
            <w:gridSpan w:val="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89010000">
            <w:pPr>
              <w:ind/>
              <w:jc w:val="center"/>
              <w:rPr>
                <w:sz w:val="24"/>
              </w:rPr>
            </w:pPr>
            <w:r>
              <w:rPr>
                <w:sz w:val="24"/>
              </w:rPr>
              <w:t>Количество перевезенных пассажиров (человек)</w:t>
            </w:r>
          </w:p>
        </w:tc>
        <w:tc>
          <w:tcPr>
            <w:tcW w:type="dxa" w:w="2696"/>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A010000">
            <w:pPr>
              <w:ind/>
              <w:jc w:val="center"/>
              <w:rPr>
                <w:sz w:val="24"/>
              </w:rPr>
            </w:pPr>
            <w:r>
              <w:rPr>
                <w:sz w:val="24"/>
              </w:rPr>
              <w:t>Разница между тарифом на перевозку пассажиров и багажа и экономически обоснованным тарифом, установленными постановлением Администрации города Батайска (руб.)</w:t>
            </w:r>
          </w:p>
        </w:tc>
        <w:tc>
          <w:tcPr>
            <w:tcW w:type="dxa" w:w="2835"/>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B010000">
            <w:pPr>
              <w:ind/>
              <w:jc w:val="center"/>
              <w:rPr>
                <w:sz w:val="24"/>
              </w:rPr>
            </w:pPr>
            <w:r>
              <w:rPr>
                <w:sz w:val="24"/>
              </w:rPr>
              <w:t>Сумма выпадающих доходов между тарифом на перевозку пассажиров и багажа и экономически обоснованным тарифом, установленными постановлением Администрации города Батайска (руб.)</w:t>
            </w:r>
          </w:p>
        </w:tc>
      </w:tr>
      <w:tr>
        <w:tc>
          <w:tcPr>
            <w:tcW w:type="dxa" w:w="510"/>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352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84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8C010000">
            <w:pPr>
              <w:ind/>
              <w:jc w:val="center"/>
              <w:rPr>
                <w:sz w:val="24"/>
              </w:rPr>
            </w:pPr>
            <w:r>
              <w:rPr>
                <w:sz w:val="24"/>
              </w:rPr>
              <w:t>Всего</w:t>
            </w:r>
          </w:p>
        </w:tc>
        <w:tc>
          <w:tcPr>
            <w:tcW w:type="dxa" w:w="130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8D010000">
            <w:pPr>
              <w:ind/>
              <w:jc w:val="center"/>
              <w:rPr>
                <w:sz w:val="24"/>
              </w:rPr>
            </w:pPr>
            <w:r>
              <w:rPr>
                <w:sz w:val="24"/>
              </w:rPr>
              <w:t>платных</w:t>
            </w:r>
            <w:r>
              <w:rPr>
                <w:sz w:val="24"/>
              </w:rPr>
              <w:t xml:space="preserve"> (со 100</w:t>
            </w:r>
            <w:r>
              <w:rPr>
                <w:sz w:val="24"/>
              </w:rPr>
              <w:t xml:space="preserve"> </w:t>
            </w:r>
            <w:r>
              <w:rPr>
                <w:sz w:val="24"/>
              </w:rPr>
              <w:t>% оплатой)</w:t>
            </w:r>
          </w:p>
        </w:tc>
        <w:tc>
          <w:tcPr>
            <w:tcW w:type="dxa" w:w="175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8E010000">
            <w:pPr>
              <w:ind/>
              <w:jc w:val="center"/>
              <w:rPr>
                <w:sz w:val="24"/>
              </w:rPr>
            </w:pPr>
            <w:r>
              <w:rPr>
                <w:sz w:val="24"/>
              </w:rPr>
              <w:t xml:space="preserve">частично </w:t>
            </w:r>
            <w:r>
              <w:rPr>
                <w:sz w:val="24"/>
              </w:rPr>
              <w:t>оплачивающих</w:t>
            </w:r>
            <w:r>
              <w:rPr>
                <w:sz w:val="24"/>
              </w:rPr>
              <w:t xml:space="preserve"> (50</w:t>
            </w:r>
            <w:r>
              <w:rPr>
                <w:sz w:val="24"/>
              </w:rPr>
              <w:t xml:space="preserve"> </w:t>
            </w:r>
            <w:r>
              <w:rPr>
                <w:sz w:val="24"/>
              </w:rPr>
              <w:t>% оплата)</w:t>
            </w:r>
          </w:p>
        </w:tc>
        <w:tc>
          <w:tcPr>
            <w:tcW w:type="dxa" w:w="147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8F010000">
            <w:pPr>
              <w:ind/>
              <w:jc w:val="center"/>
              <w:rPr>
                <w:sz w:val="24"/>
              </w:rPr>
            </w:pPr>
            <w:r>
              <w:rPr>
                <w:sz w:val="24"/>
              </w:rPr>
              <w:t>иных льготных категорий пассажиров</w:t>
            </w:r>
          </w:p>
        </w:tc>
        <w:tc>
          <w:tcPr>
            <w:tcW w:type="dxa" w:w="2696"/>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835"/>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r>
      <w:tr>
        <w:tc>
          <w:tcPr>
            <w:tcW w:type="dxa" w:w="51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0010000">
            <w:pPr>
              <w:ind/>
              <w:jc w:val="center"/>
              <w:rPr>
                <w:sz w:val="24"/>
              </w:rPr>
            </w:pPr>
          </w:p>
        </w:tc>
        <w:tc>
          <w:tcPr>
            <w:tcW w:type="dxa" w:w="352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1010000">
            <w:pPr>
              <w:rPr>
                <w:sz w:val="24"/>
              </w:rPr>
            </w:pPr>
            <w:r>
              <w:rPr>
                <w:sz w:val="24"/>
              </w:rPr>
              <w:t xml:space="preserve">За отчетный месяц </w:t>
            </w:r>
            <w:r>
              <w:rPr>
                <w:sz w:val="24"/>
              </w:rPr>
              <w:t>–</w:t>
            </w:r>
            <w:r>
              <w:rPr>
                <w:sz w:val="24"/>
              </w:rPr>
              <w:t xml:space="preserve"> все</w:t>
            </w:r>
            <w:r>
              <w:rPr>
                <w:sz w:val="24"/>
              </w:rPr>
              <w:t>го,</w:t>
            </w:r>
          </w:p>
          <w:p w14:paraId="92010000">
            <w:pPr>
              <w:rPr>
                <w:sz w:val="24"/>
              </w:rPr>
            </w:pPr>
            <w:r>
              <w:rPr>
                <w:sz w:val="24"/>
              </w:rPr>
              <w:t xml:space="preserve">   в </w:t>
            </w:r>
            <w:r>
              <w:rPr>
                <w:sz w:val="24"/>
              </w:rPr>
              <w:t>т.ч</w:t>
            </w:r>
            <w:r>
              <w:rPr>
                <w:sz w:val="24"/>
              </w:rPr>
              <w:t>.:</w:t>
            </w:r>
          </w:p>
        </w:tc>
        <w:tc>
          <w:tcPr>
            <w:tcW w:type="dxa" w:w="84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3010000">
            <w:pPr>
              <w:ind/>
              <w:jc w:val="center"/>
              <w:rPr>
                <w:sz w:val="24"/>
              </w:rPr>
            </w:pPr>
          </w:p>
        </w:tc>
        <w:tc>
          <w:tcPr>
            <w:tcW w:type="dxa" w:w="130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4010000">
            <w:pPr>
              <w:ind/>
              <w:jc w:val="center"/>
              <w:rPr>
                <w:sz w:val="24"/>
              </w:rPr>
            </w:pPr>
          </w:p>
        </w:tc>
        <w:tc>
          <w:tcPr>
            <w:tcW w:type="dxa" w:w="175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5010000">
            <w:pPr>
              <w:ind/>
              <w:jc w:val="center"/>
              <w:rPr>
                <w:sz w:val="24"/>
              </w:rPr>
            </w:pPr>
          </w:p>
        </w:tc>
        <w:tc>
          <w:tcPr>
            <w:tcW w:type="dxa" w:w="147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6010000">
            <w:pPr>
              <w:ind/>
              <w:jc w:val="center"/>
              <w:rPr>
                <w:sz w:val="24"/>
              </w:rPr>
            </w:pPr>
          </w:p>
        </w:tc>
        <w:tc>
          <w:tcPr>
            <w:tcW w:type="dxa" w:w="269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7010000">
            <w:pPr>
              <w:ind/>
              <w:jc w:val="center"/>
              <w:rPr>
                <w:sz w:val="24"/>
              </w:rPr>
            </w:pPr>
          </w:p>
        </w:tc>
        <w:tc>
          <w:tcPr>
            <w:tcW w:type="dxa" w:w="2835"/>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8010000">
            <w:pPr>
              <w:ind/>
              <w:jc w:val="center"/>
              <w:rPr>
                <w:sz w:val="24"/>
              </w:rPr>
            </w:pPr>
          </w:p>
        </w:tc>
      </w:tr>
      <w:tr>
        <w:tc>
          <w:tcPr>
            <w:tcW w:type="dxa" w:w="51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9010000">
            <w:pPr>
              <w:ind/>
              <w:jc w:val="center"/>
              <w:rPr>
                <w:sz w:val="24"/>
              </w:rPr>
            </w:pPr>
            <w:r>
              <w:rPr>
                <w:sz w:val="24"/>
              </w:rPr>
              <w:t>1</w:t>
            </w:r>
            <w:r>
              <w:rPr>
                <w:sz w:val="24"/>
              </w:rPr>
              <w:t>.</w:t>
            </w:r>
          </w:p>
        </w:tc>
        <w:tc>
          <w:tcPr>
            <w:tcW w:type="dxa" w:w="352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A010000">
            <w:pPr>
              <w:rPr>
                <w:sz w:val="24"/>
              </w:rPr>
            </w:pPr>
            <w:r>
              <w:rPr>
                <w:sz w:val="24"/>
              </w:rPr>
              <w:t>По видам расчетов за проезд:</w:t>
            </w:r>
          </w:p>
        </w:tc>
        <w:tc>
          <w:tcPr>
            <w:tcW w:type="dxa" w:w="84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B010000">
            <w:pPr>
              <w:ind/>
              <w:jc w:val="center"/>
              <w:rPr>
                <w:sz w:val="24"/>
              </w:rPr>
            </w:pPr>
          </w:p>
        </w:tc>
        <w:tc>
          <w:tcPr>
            <w:tcW w:type="dxa" w:w="130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C010000">
            <w:pPr>
              <w:ind/>
              <w:jc w:val="center"/>
              <w:rPr>
                <w:sz w:val="24"/>
              </w:rPr>
            </w:pPr>
          </w:p>
        </w:tc>
        <w:tc>
          <w:tcPr>
            <w:tcW w:type="dxa" w:w="175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D010000">
            <w:pPr>
              <w:ind/>
              <w:jc w:val="center"/>
              <w:rPr>
                <w:sz w:val="24"/>
              </w:rPr>
            </w:pPr>
          </w:p>
        </w:tc>
        <w:tc>
          <w:tcPr>
            <w:tcW w:type="dxa" w:w="147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E010000">
            <w:pPr>
              <w:ind/>
              <w:jc w:val="center"/>
              <w:rPr>
                <w:sz w:val="24"/>
              </w:rPr>
            </w:pPr>
          </w:p>
        </w:tc>
        <w:tc>
          <w:tcPr>
            <w:tcW w:type="dxa" w:w="269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F010000">
            <w:pPr>
              <w:ind/>
              <w:jc w:val="center"/>
              <w:rPr>
                <w:sz w:val="24"/>
              </w:rPr>
            </w:pPr>
          </w:p>
        </w:tc>
        <w:tc>
          <w:tcPr>
            <w:tcW w:type="dxa" w:w="2835"/>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0010000">
            <w:pPr>
              <w:ind/>
              <w:jc w:val="center"/>
              <w:rPr>
                <w:sz w:val="24"/>
              </w:rPr>
            </w:pPr>
          </w:p>
        </w:tc>
      </w:tr>
      <w:tr>
        <w:tc>
          <w:tcPr>
            <w:tcW w:type="dxa" w:w="51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1010000">
            <w:pPr>
              <w:ind/>
              <w:jc w:val="center"/>
              <w:rPr>
                <w:sz w:val="24"/>
              </w:rPr>
            </w:pPr>
          </w:p>
        </w:tc>
        <w:tc>
          <w:tcPr>
            <w:tcW w:type="dxa" w:w="352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2010000">
            <w:pPr>
              <w:rPr>
                <w:sz w:val="24"/>
              </w:rPr>
            </w:pPr>
            <w:r>
              <w:rPr>
                <w:sz w:val="24"/>
              </w:rPr>
              <w:t xml:space="preserve">   </w:t>
            </w:r>
            <w:r>
              <w:rPr>
                <w:sz w:val="24"/>
              </w:rPr>
              <w:t>наличный</w:t>
            </w:r>
          </w:p>
        </w:tc>
        <w:tc>
          <w:tcPr>
            <w:tcW w:type="dxa" w:w="84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3010000">
            <w:pPr>
              <w:ind/>
              <w:jc w:val="center"/>
              <w:rPr>
                <w:sz w:val="24"/>
              </w:rPr>
            </w:pPr>
          </w:p>
        </w:tc>
        <w:tc>
          <w:tcPr>
            <w:tcW w:type="dxa" w:w="130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4010000">
            <w:pPr>
              <w:ind/>
              <w:jc w:val="center"/>
              <w:rPr>
                <w:sz w:val="24"/>
              </w:rPr>
            </w:pPr>
          </w:p>
        </w:tc>
        <w:tc>
          <w:tcPr>
            <w:tcW w:type="dxa" w:w="175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5010000">
            <w:pPr>
              <w:ind/>
              <w:jc w:val="center"/>
              <w:rPr>
                <w:sz w:val="24"/>
              </w:rPr>
            </w:pPr>
          </w:p>
        </w:tc>
        <w:tc>
          <w:tcPr>
            <w:tcW w:type="dxa" w:w="147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6010000">
            <w:pPr>
              <w:ind/>
              <w:jc w:val="center"/>
              <w:rPr>
                <w:sz w:val="24"/>
              </w:rPr>
            </w:pPr>
          </w:p>
        </w:tc>
        <w:tc>
          <w:tcPr>
            <w:tcW w:type="dxa" w:w="269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7010000">
            <w:pPr>
              <w:ind/>
              <w:jc w:val="center"/>
              <w:rPr>
                <w:sz w:val="24"/>
              </w:rPr>
            </w:pPr>
          </w:p>
        </w:tc>
        <w:tc>
          <w:tcPr>
            <w:tcW w:type="dxa" w:w="2835"/>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8010000">
            <w:pPr>
              <w:ind/>
              <w:jc w:val="center"/>
              <w:rPr>
                <w:sz w:val="24"/>
              </w:rPr>
            </w:pPr>
          </w:p>
        </w:tc>
      </w:tr>
      <w:tr>
        <w:tc>
          <w:tcPr>
            <w:tcW w:type="dxa" w:w="51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9010000">
            <w:pPr>
              <w:ind/>
              <w:jc w:val="center"/>
              <w:rPr>
                <w:sz w:val="24"/>
              </w:rPr>
            </w:pPr>
          </w:p>
        </w:tc>
        <w:tc>
          <w:tcPr>
            <w:tcW w:type="dxa" w:w="352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A010000">
            <w:pPr>
              <w:rPr>
                <w:sz w:val="24"/>
              </w:rPr>
            </w:pPr>
            <w:r>
              <w:rPr>
                <w:sz w:val="24"/>
              </w:rPr>
              <w:t xml:space="preserve">   </w:t>
            </w:r>
            <w:r>
              <w:rPr>
                <w:sz w:val="24"/>
              </w:rPr>
              <w:t>безналичный</w:t>
            </w:r>
          </w:p>
        </w:tc>
        <w:tc>
          <w:tcPr>
            <w:tcW w:type="dxa" w:w="84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B010000">
            <w:pPr>
              <w:ind/>
              <w:jc w:val="center"/>
              <w:rPr>
                <w:sz w:val="24"/>
              </w:rPr>
            </w:pPr>
          </w:p>
        </w:tc>
        <w:tc>
          <w:tcPr>
            <w:tcW w:type="dxa" w:w="130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C010000">
            <w:pPr>
              <w:ind/>
              <w:jc w:val="center"/>
              <w:rPr>
                <w:sz w:val="24"/>
              </w:rPr>
            </w:pPr>
          </w:p>
        </w:tc>
        <w:tc>
          <w:tcPr>
            <w:tcW w:type="dxa" w:w="175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D010000">
            <w:pPr>
              <w:ind/>
              <w:jc w:val="center"/>
              <w:rPr>
                <w:sz w:val="24"/>
              </w:rPr>
            </w:pPr>
          </w:p>
        </w:tc>
        <w:tc>
          <w:tcPr>
            <w:tcW w:type="dxa" w:w="147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E010000">
            <w:pPr>
              <w:ind/>
              <w:jc w:val="center"/>
              <w:rPr>
                <w:sz w:val="24"/>
              </w:rPr>
            </w:pPr>
          </w:p>
        </w:tc>
        <w:tc>
          <w:tcPr>
            <w:tcW w:type="dxa" w:w="269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F010000">
            <w:pPr>
              <w:ind/>
              <w:jc w:val="center"/>
              <w:rPr>
                <w:sz w:val="24"/>
              </w:rPr>
            </w:pPr>
          </w:p>
        </w:tc>
        <w:tc>
          <w:tcPr>
            <w:tcW w:type="dxa" w:w="2835"/>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B0010000">
            <w:pPr>
              <w:ind/>
              <w:jc w:val="center"/>
              <w:rPr>
                <w:sz w:val="24"/>
              </w:rPr>
            </w:pPr>
          </w:p>
        </w:tc>
      </w:tr>
      <w:tr>
        <w:tc>
          <w:tcPr>
            <w:tcW w:type="dxa" w:w="51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1010000">
            <w:pPr>
              <w:ind/>
              <w:jc w:val="center"/>
              <w:rPr>
                <w:sz w:val="24"/>
              </w:rPr>
            </w:pPr>
            <w:r>
              <w:rPr>
                <w:sz w:val="24"/>
              </w:rPr>
              <w:t>2</w:t>
            </w:r>
            <w:r>
              <w:rPr>
                <w:sz w:val="24"/>
              </w:rPr>
              <w:t>.</w:t>
            </w:r>
          </w:p>
        </w:tc>
        <w:tc>
          <w:tcPr>
            <w:tcW w:type="dxa" w:w="352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2010000">
            <w:pPr>
              <w:rPr>
                <w:sz w:val="24"/>
              </w:rPr>
            </w:pPr>
            <w:r>
              <w:rPr>
                <w:sz w:val="24"/>
              </w:rPr>
              <w:t>По маршрутам</w:t>
            </w:r>
            <w:r>
              <w:rPr>
                <w:sz w:val="24"/>
              </w:rPr>
              <w:t>:</w:t>
            </w:r>
          </w:p>
        </w:tc>
        <w:tc>
          <w:tcPr>
            <w:tcW w:type="dxa" w:w="84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B3010000">
            <w:pPr>
              <w:ind/>
              <w:jc w:val="center"/>
              <w:rPr>
                <w:sz w:val="24"/>
              </w:rPr>
            </w:pPr>
          </w:p>
        </w:tc>
        <w:tc>
          <w:tcPr>
            <w:tcW w:type="dxa" w:w="130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B4010000">
            <w:pPr>
              <w:ind/>
              <w:jc w:val="center"/>
              <w:rPr>
                <w:sz w:val="24"/>
              </w:rPr>
            </w:pPr>
          </w:p>
        </w:tc>
        <w:tc>
          <w:tcPr>
            <w:tcW w:type="dxa" w:w="175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B5010000">
            <w:pPr>
              <w:ind/>
              <w:jc w:val="center"/>
              <w:rPr>
                <w:sz w:val="24"/>
              </w:rPr>
            </w:pPr>
          </w:p>
        </w:tc>
        <w:tc>
          <w:tcPr>
            <w:tcW w:type="dxa" w:w="147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B6010000">
            <w:pPr>
              <w:ind/>
              <w:jc w:val="center"/>
              <w:rPr>
                <w:sz w:val="24"/>
              </w:rPr>
            </w:pPr>
          </w:p>
        </w:tc>
        <w:tc>
          <w:tcPr>
            <w:tcW w:type="dxa" w:w="269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B7010000">
            <w:pPr>
              <w:ind/>
              <w:jc w:val="center"/>
              <w:rPr>
                <w:sz w:val="24"/>
              </w:rPr>
            </w:pPr>
          </w:p>
        </w:tc>
        <w:tc>
          <w:tcPr>
            <w:tcW w:type="dxa" w:w="2835"/>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B8010000">
            <w:pPr>
              <w:ind/>
              <w:jc w:val="center"/>
              <w:rPr>
                <w:sz w:val="24"/>
              </w:rPr>
            </w:pPr>
          </w:p>
        </w:tc>
      </w:tr>
      <w:tr>
        <w:tc>
          <w:tcPr>
            <w:tcW w:type="dxa" w:w="51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9010000">
            <w:pPr>
              <w:ind/>
              <w:jc w:val="center"/>
              <w:rPr>
                <w:sz w:val="24"/>
              </w:rPr>
            </w:pPr>
          </w:p>
        </w:tc>
        <w:tc>
          <w:tcPr>
            <w:tcW w:type="dxa" w:w="352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A010000">
            <w:pPr>
              <w:rPr>
                <w:sz w:val="24"/>
              </w:rPr>
            </w:pPr>
            <w:r>
              <w:rPr>
                <w:sz w:val="24"/>
              </w:rPr>
              <w:t xml:space="preserve">   </w:t>
            </w:r>
            <w:r>
              <w:rPr>
                <w:sz w:val="24"/>
              </w:rPr>
              <w:t>№</w:t>
            </w:r>
            <w:r>
              <w:rPr>
                <w:sz w:val="24"/>
              </w:rPr>
              <w:t xml:space="preserve"> </w:t>
            </w:r>
            <w:r>
              <w:rPr>
                <w:color w:val="000000"/>
                <w:sz w:val="24"/>
              </w:rPr>
              <w:t>__</w:t>
            </w:r>
          </w:p>
        </w:tc>
        <w:tc>
          <w:tcPr>
            <w:tcW w:type="dxa" w:w="84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BB010000">
            <w:pPr>
              <w:ind/>
              <w:jc w:val="center"/>
              <w:rPr>
                <w:sz w:val="24"/>
              </w:rPr>
            </w:pPr>
          </w:p>
        </w:tc>
        <w:tc>
          <w:tcPr>
            <w:tcW w:type="dxa" w:w="130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BC010000">
            <w:pPr>
              <w:ind/>
              <w:jc w:val="center"/>
              <w:rPr>
                <w:sz w:val="24"/>
              </w:rPr>
            </w:pPr>
          </w:p>
        </w:tc>
        <w:tc>
          <w:tcPr>
            <w:tcW w:type="dxa" w:w="175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BD010000">
            <w:pPr>
              <w:ind/>
              <w:jc w:val="center"/>
              <w:rPr>
                <w:sz w:val="24"/>
              </w:rPr>
            </w:pPr>
          </w:p>
        </w:tc>
        <w:tc>
          <w:tcPr>
            <w:tcW w:type="dxa" w:w="147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BE010000">
            <w:pPr>
              <w:ind/>
              <w:jc w:val="center"/>
              <w:rPr>
                <w:sz w:val="24"/>
              </w:rPr>
            </w:pPr>
          </w:p>
        </w:tc>
        <w:tc>
          <w:tcPr>
            <w:tcW w:type="dxa" w:w="269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BF010000">
            <w:pPr>
              <w:ind/>
              <w:jc w:val="center"/>
              <w:rPr>
                <w:sz w:val="24"/>
              </w:rPr>
            </w:pPr>
          </w:p>
        </w:tc>
        <w:tc>
          <w:tcPr>
            <w:tcW w:type="dxa" w:w="2835"/>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C0010000">
            <w:pPr>
              <w:ind/>
              <w:jc w:val="center"/>
              <w:rPr>
                <w:sz w:val="24"/>
              </w:rPr>
            </w:pPr>
          </w:p>
        </w:tc>
      </w:tr>
      <w:tr>
        <w:tc>
          <w:tcPr>
            <w:tcW w:type="dxa" w:w="51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1010000">
            <w:pPr>
              <w:ind/>
              <w:jc w:val="center"/>
              <w:rPr>
                <w:sz w:val="24"/>
              </w:rPr>
            </w:pPr>
          </w:p>
        </w:tc>
        <w:tc>
          <w:tcPr>
            <w:tcW w:type="dxa" w:w="352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2010000">
            <w:pPr>
              <w:rPr>
                <w:sz w:val="24"/>
              </w:rPr>
            </w:pPr>
            <w:r>
              <w:rPr>
                <w:sz w:val="24"/>
              </w:rPr>
              <w:t xml:space="preserve">   </w:t>
            </w:r>
            <w:r>
              <w:rPr>
                <w:sz w:val="24"/>
              </w:rPr>
              <w:t>№</w:t>
            </w:r>
            <w:r>
              <w:rPr>
                <w:sz w:val="24"/>
              </w:rPr>
              <w:t xml:space="preserve"> </w:t>
            </w:r>
            <w:r>
              <w:rPr>
                <w:color w:val="000000"/>
                <w:sz w:val="24"/>
              </w:rPr>
              <w:t>__</w:t>
            </w:r>
          </w:p>
        </w:tc>
        <w:tc>
          <w:tcPr>
            <w:tcW w:type="dxa" w:w="84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C3010000">
            <w:pPr>
              <w:ind/>
              <w:jc w:val="center"/>
              <w:rPr>
                <w:sz w:val="24"/>
              </w:rPr>
            </w:pPr>
          </w:p>
        </w:tc>
        <w:tc>
          <w:tcPr>
            <w:tcW w:type="dxa" w:w="130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C4010000">
            <w:pPr>
              <w:ind/>
              <w:jc w:val="center"/>
              <w:rPr>
                <w:sz w:val="24"/>
              </w:rPr>
            </w:pPr>
          </w:p>
        </w:tc>
        <w:tc>
          <w:tcPr>
            <w:tcW w:type="dxa" w:w="175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C5010000">
            <w:pPr>
              <w:ind/>
              <w:jc w:val="center"/>
              <w:rPr>
                <w:sz w:val="24"/>
              </w:rPr>
            </w:pPr>
          </w:p>
        </w:tc>
        <w:tc>
          <w:tcPr>
            <w:tcW w:type="dxa" w:w="147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C6010000">
            <w:pPr>
              <w:ind/>
              <w:jc w:val="center"/>
              <w:rPr>
                <w:sz w:val="24"/>
              </w:rPr>
            </w:pPr>
          </w:p>
        </w:tc>
        <w:tc>
          <w:tcPr>
            <w:tcW w:type="dxa" w:w="269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C7010000">
            <w:pPr>
              <w:ind/>
              <w:jc w:val="center"/>
              <w:rPr>
                <w:sz w:val="24"/>
              </w:rPr>
            </w:pPr>
          </w:p>
        </w:tc>
        <w:tc>
          <w:tcPr>
            <w:tcW w:type="dxa" w:w="2835"/>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C8010000">
            <w:pPr>
              <w:ind/>
              <w:jc w:val="center"/>
              <w:rPr>
                <w:sz w:val="24"/>
              </w:rPr>
            </w:pPr>
          </w:p>
        </w:tc>
      </w:tr>
      <w:tr>
        <w:tc>
          <w:tcPr>
            <w:tcW w:type="dxa" w:w="51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9010000">
            <w:pPr>
              <w:ind/>
              <w:jc w:val="center"/>
              <w:rPr>
                <w:sz w:val="24"/>
              </w:rPr>
            </w:pPr>
          </w:p>
        </w:tc>
        <w:tc>
          <w:tcPr>
            <w:tcW w:type="dxa" w:w="352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A010000">
            <w:pPr>
              <w:rPr>
                <w:sz w:val="24"/>
              </w:rPr>
            </w:pPr>
            <w:r>
              <w:rPr>
                <w:sz w:val="24"/>
              </w:rPr>
              <w:t xml:space="preserve">   </w:t>
            </w:r>
            <w:r>
              <w:rPr>
                <w:sz w:val="24"/>
              </w:rPr>
              <w:t>№</w:t>
            </w:r>
            <w:r>
              <w:rPr>
                <w:sz w:val="24"/>
              </w:rPr>
              <w:t xml:space="preserve"> </w:t>
            </w:r>
            <w:r>
              <w:rPr>
                <w:color w:val="000000"/>
                <w:sz w:val="24"/>
              </w:rPr>
              <w:t>__</w:t>
            </w:r>
          </w:p>
        </w:tc>
        <w:tc>
          <w:tcPr>
            <w:tcW w:type="dxa" w:w="84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CB010000">
            <w:pPr>
              <w:ind/>
              <w:jc w:val="center"/>
              <w:rPr>
                <w:sz w:val="24"/>
              </w:rPr>
            </w:pPr>
          </w:p>
        </w:tc>
        <w:tc>
          <w:tcPr>
            <w:tcW w:type="dxa" w:w="130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CC010000">
            <w:pPr>
              <w:ind/>
              <w:jc w:val="center"/>
              <w:rPr>
                <w:sz w:val="24"/>
              </w:rPr>
            </w:pPr>
          </w:p>
        </w:tc>
        <w:tc>
          <w:tcPr>
            <w:tcW w:type="dxa" w:w="175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CD010000">
            <w:pPr>
              <w:ind/>
              <w:jc w:val="center"/>
              <w:rPr>
                <w:sz w:val="24"/>
              </w:rPr>
            </w:pPr>
          </w:p>
        </w:tc>
        <w:tc>
          <w:tcPr>
            <w:tcW w:type="dxa" w:w="147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CE010000">
            <w:pPr>
              <w:ind/>
              <w:jc w:val="center"/>
              <w:rPr>
                <w:sz w:val="24"/>
              </w:rPr>
            </w:pPr>
          </w:p>
        </w:tc>
        <w:tc>
          <w:tcPr>
            <w:tcW w:type="dxa" w:w="269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CF010000">
            <w:pPr>
              <w:ind/>
              <w:jc w:val="center"/>
              <w:rPr>
                <w:sz w:val="24"/>
              </w:rPr>
            </w:pPr>
          </w:p>
        </w:tc>
        <w:tc>
          <w:tcPr>
            <w:tcW w:type="dxa" w:w="2835"/>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0010000">
            <w:pPr>
              <w:ind/>
              <w:jc w:val="center"/>
              <w:rPr>
                <w:sz w:val="24"/>
              </w:rPr>
            </w:pPr>
          </w:p>
        </w:tc>
      </w:tr>
      <w:tr>
        <w:tc>
          <w:tcPr>
            <w:tcW w:type="dxa" w:w="51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1010000">
            <w:pPr>
              <w:ind/>
              <w:jc w:val="center"/>
              <w:rPr>
                <w:sz w:val="24"/>
              </w:rPr>
            </w:pPr>
          </w:p>
        </w:tc>
        <w:tc>
          <w:tcPr>
            <w:tcW w:type="dxa" w:w="352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2010000">
            <w:pPr>
              <w:rPr>
                <w:sz w:val="24"/>
              </w:rPr>
            </w:pPr>
            <w:r>
              <w:rPr>
                <w:sz w:val="24"/>
              </w:rPr>
              <w:t xml:space="preserve">   </w:t>
            </w:r>
            <w:r>
              <w:rPr>
                <w:sz w:val="24"/>
              </w:rPr>
              <w:t>№</w:t>
            </w:r>
            <w:r>
              <w:rPr>
                <w:sz w:val="24"/>
              </w:rPr>
              <w:t xml:space="preserve"> </w:t>
            </w:r>
            <w:r>
              <w:rPr>
                <w:color w:val="000000"/>
                <w:sz w:val="24"/>
              </w:rPr>
              <w:t>__</w:t>
            </w:r>
          </w:p>
        </w:tc>
        <w:tc>
          <w:tcPr>
            <w:tcW w:type="dxa" w:w="84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3010000">
            <w:pPr>
              <w:ind/>
              <w:jc w:val="center"/>
              <w:rPr>
                <w:sz w:val="24"/>
              </w:rPr>
            </w:pPr>
          </w:p>
        </w:tc>
        <w:tc>
          <w:tcPr>
            <w:tcW w:type="dxa" w:w="130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4010000">
            <w:pPr>
              <w:ind/>
              <w:jc w:val="center"/>
              <w:rPr>
                <w:sz w:val="24"/>
              </w:rPr>
            </w:pPr>
          </w:p>
        </w:tc>
        <w:tc>
          <w:tcPr>
            <w:tcW w:type="dxa" w:w="175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5010000">
            <w:pPr>
              <w:ind/>
              <w:jc w:val="center"/>
              <w:rPr>
                <w:sz w:val="24"/>
              </w:rPr>
            </w:pPr>
          </w:p>
        </w:tc>
        <w:tc>
          <w:tcPr>
            <w:tcW w:type="dxa" w:w="147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6010000">
            <w:pPr>
              <w:ind/>
              <w:jc w:val="center"/>
              <w:rPr>
                <w:sz w:val="24"/>
              </w:rPr>
            </w:pPr>
          </w:p>
        </w:tc>
        <w:tc>
          <w:tcPr>
            <w:tcW w:type="dxa" w:w="269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7010000">
            <w:pPr>
              <w:ind/>
              <w:jc w:val="center"/>
              <w:rPr>
                <w:sz w:val="24"/>
              </w:rPr>
            </w:pPr>
          </w:p>
        </w:tc>
        <w:tc>
          <w:tcPr>
            <w:tcW w:type="dxa" w:w="2835"/>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8010000">
            <w:pPr>
              <w:ind/>
              <w:jc w:val="center"/>
              <w:rPr>
                <w:sz w:val="24"/>
              </w:rPr>
            </w:pPr>
          </w:p>
        </w:tc>
      </w:tr>
      <w:tr>
        <w:tc>
          <w:tcPr>
            <w:tcW w:type="dxa" w:w="51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9010000">
            <w:pPr>
              <w:ind/>
              <w:jc w:val="center"/>
              <w:rPr>
                <w:sz w:val="24"/>
              </w:rPr>
            </w:pPr>
          </w:p>
        </w:tc>
        <w:tc>
          <w:tcPr>
            <w:tcW w:type="dxa" w:w="352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A010000">
            <w:pPr>
              <w:rPr>
                <w:sz w:val="24"/>
              </w:rPr>
            </w:pPr>
            <w:r>
              <w:rPr>
                <w:sz w:val="24"/>
              </w:rPr>
              <w:t xml:space="preserve">   </w:t>
            </w:r>
            <w:r>
              <w:rPr>
                <w:sz w:val="24"/>
              </w:rPr>
              <w:t>№</w:t>
            </w:r>
            <w:r>
              <w:rPr>
                <w:sz w:val="24"/>
              </w:rPr>
              <w:t xml:space="preserve"> </w:t>
            </w:r>
            <w:r>
              <w:rPr>
                <w:color w:val="000000"/>
                <w:sz w:val="24"/>
              </w:rPr>
              <w:t>__</w:t>
            </w:r>
          </w:p>
        </w:tc>
        <w:tc>
          <w:tcPr>
            <w:tcW w:type="dxa" w:w="84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B010000">
            <w:pPr>
              <w:ind/>
              <w:jc w:val="center"/>
              <w:rPr>
                <w:sz w:val="24"/>
              </w:rPr>
            </w:pPr>
          </w:p>
        </w:tc>
        <w:tc>
          <w:tcPr>
            <w:tcW w:type="dxa" w:w="130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C010000">
            <w:pPr>
              <w:ind/>
              <w:jc w:val="center"/>
              <w:rPr>
                <w:sz w:val="24"/>
              </w:rPr>
            </w:pPr>
          </w:p>
        </w:tc>
        <w:tc>
          <w:tcPr>
            <w:tcW w:type="dxa" w:w="175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D010000">
            <w:pPr>
              <w:ind/>
              <w:jc w:val="center"/>
              <w:rPr>
                <w:sz w:val="24"/>
              </w:rPr>
            </w:pPr>
          </w:p>
        </w:tc>
        <w:tc>
          <w:tcPr>
            <w:tcW w:type="dxa" w:w="147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E010000">
            <w:pPr>
              <w:ind/>
              <w:jc w:val="center"/>
              <w:rPr>
                <w:sz w:val="24"/>
              </w:rPr>
            </w:pPr>
          </w:p>
        </w:tc>
        <w:tc>
          <w:tcPr>
            <w:tcW w:type="dxa" w:w="269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F010000">
            <w:pPr>
              <w:ind/>
              <w:jc w:val="center"/>
              <w:rPr>
                <w:sz w:val="24"/>
              </w:rPr>
            </w:pPr>
          </w:p>
        </w:tc>
        <w:tc>
          <w:tcPr>
            <w:tcW w:type="dxa" w:w="2835"/>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0010000">
            <w:pPr>
              <w:ind/>
              <w:jc w:val="center"/>
              <w:rPr>
                <w:sz w:val="24"/>
              </w:rPr>
            </w:pPr>
          </w:p>
        </w:tc>
      </w:tr>
      <w:tr>
        <w:tc>
          <w:tcPr>
            <w:tcW w:type="dxa" w:w="51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1010000">
            <w:pPr>
              <w:ind/>
              <w:jc w:val="center"/>
              <w:rPr>
                <w:sz w:val="24"/>
              </w:rPr>
            </w:pPr>
          </w:p>
        </w:tc>
        <w:tc>
          <w:tcPr>
            <w:tcW w:type="dxa" w:w="352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2010000">
            <w:pPr>
              <w:rPr>
                <w:sz w:val="24"/>
              </w:rPr>
            </w:pPr>
            <w:r>
              <w:rPr>
                <w:sz w:val="24"/>
              </w:rPr>
              <w:t xml:space="preserve">   </w:t>
            </w:r>
            <w:r>
              <w:rPr>
                <w:sz w:val="24"/>
              </w:rPr>
              <w:t>№</w:t>
            </w:r>
            <w:r>
              <w:rPr>
                <w:sz w:val="24"/>
              </w:rPr>
              <w:t xml:space="preserve"> </w:t>
            </w:r>
            <w:r>
              <w:rPr>
                <w:color w:val="000000"/>
                <w:sz w:val="24"/>
              </w:rPr>
              <w:t>__</w:t>
            </w:r>
          </w:p>
        </w:tc>
        <w:tc>
          <w:tcPr>
            <w:tcW w:type="dxa" w:w="84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3010000">
            <w:pPr>
              <w:ind/>
              <w:jc w:val="center"/>
              <w:rPr>
                <w:sz w:val="24"/>
              </w:rPr>
            </w:pPr>
          </w:p>
        </w:tc>
        <w:tc>
          <w:tcPr>
            <w:tcW w:type="dxa" w:w="130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4010000">
            <w:pPr>
              <w:ind/>
              <w:jc w:val="center"/>
              <w:rPr>
                <w:sz w:val="24"/>
              </w:rPr>
            </w:pPr>
          </w:p>
        </w:tc>
        <w:tc>
          <w:tcPr>
            <w:tcW w:type="dxa" w:w="175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5010000">
            <w:pPr>
              <w:ind/>
              <w:jc w:val="center"/>
              <w:rPr>
                <w:sz w:val="24"/>
              </w:rPr>
            </w:pPr>
          </w:p>
        </w:tc>
        <w:tc>
          <w:tcPr>
            <w:tcW w:type="dxa" w:w="147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6010000">
            <w:pPr>
              <w:ind/>
              <w:jc w:val="center"/>
              <w:rPr>
                <w:sz w:val="24"/>
              </w:rPr>
            </w:pPr>
          </w:p>
        </w:tc>
        <w:tc>
          <w:tcPr>
            <w:tcW w:type="dxa" w:w="269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7010000">
            <w:pPr>
              <w:ind/>
              <w:jc w:val="center"/>
              <w:rPr>
                <w:sz w:val="24"/>
              </w:rPr>
            </w:pPr>
          </w:p>
        </w:tc>
        <w:tc>
          <w:tcPr>
            <w:tcW w:type="dxa" w:w="2835"/>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8010000">
            <w:pPr>
              <w:ind/>
              <w:jc w:val="center"/>
              <w:rPr>
                <w:sz w:val="24"/>
              </w:rPr>
            </w:pPr>
          </w:p>
        </w:tc>
      </w:tr>
      <w:tr>
        <w:tc>
          <w:tcPr>
            <w:tcW w:type="dxa" w:w="51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9010000">
            <w:pPr>
              <w:ind/>
              <w:jc w:val="center"/>
              <w:rPr>
                <w:sz w:val="24"/>
              </w:rPr>
            </w:pPr>
          </w:p>
        </w:tc>
        <w:tc>
          <w:tcPr>
            <w:tcW w:type="dxa" w:w="352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A010000">
            <w:pPr>
              <w:rPr>
                <w:sz w:val="24"/>
              </w:rPr>
            </w:pPr>
            <w:r>
              <w:rPr>
                <w:sz w:val="24"/>
              </w:rPr>
              <w:t xml:space="preserve">   </w:t>
            </w:r>
            <w:r>
              <w:rPr>
                <w:sz w:val="24"/>
              </w:rPr>
              <w:t>№</w:t>
            </w:r>
            <w:r>
              <w:rPr>
                <w:sz w:val="24"/>
              </w:rPr>
              <w:t xml:space="preserve"> </w:t>
            </w:r>
            <w:r>
              <w:rPr>
                <w:color w:val="000000"/>
                <w:sz w:val="24"/>
              </w:rPr>
              <w:t>__</w:t>
            </w:r>
          </w:p>
        </w:tc>
        <w:tc>
          <w:tcPr>
            <w:tcW w:type="dxa" w:w="84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B010000">
            <w:pPr>
              <w:ind/>
              <w:jc w:val="center"/>
              <w:rPr>
                <w:sz w:val="24"/>
              </w:rPr>
            </w:pPr>
          </w:p>
        </w:tc>
        <w:tc>
          <w:tcPr>
            <w:tcW w:type="dxa" w:w="130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C010000">
            <w:pPr>
              <w:ind/>
              <w:jc w:val="center"/>
              <w:rPr>
                <w:sz w:val="24"/>
              </w:rPr>
            </w:pPr>
          </w:p>
        </w:tc>
        <w:tc>
          <w:tcPr>
            <w:tcW w:type="dxa" w:w="175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D010000">
            <w:pPr>
              <w:ind/>
              <w:jc w:val="center"/>
              <w:rPr>
                <w:sz w:val="24"/>
              </w:rPr>
            </w:pPr>
          </w:p>
        </w:tc>
        <w:tc>
          <w:tcPr>
            <w:tcW w:type="dxa" w:w="147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E010000">
            <w:pPr>
              <w:ind/>
              <w:jc w:val="center"/>
              <w:rPr>
                <w:sz w:val="24"/>
              </w:rPr>
            </w:pPr>
          </w:p>
        </w:tc>
        <w:tc>
          <w:tcPr>
            <w:tcW w:type="dxa" w:w="269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F010000">
            <w:pPr>
              <w:ind/>
              <w:jc w:val="center"/>
              <w:rPr>
                <w:sz w:val="24"/>
              </w:rPr>
            </w:pPr>
          </w:p>
        </w:tc>
        <w:tc>
          <w:tcPr>
            <w:tcW w:type="dxa" w:w="2835"/>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0010000">
            <w:pPr>
              <w:ind/>
              <w:jc w:val="center"/>
              <w:rPr>
                <w:sz w:val="24"/>
              </w:rPr>
            </w:pPr>
          </w:p>
        </w:tc>
      </w:tr>
      <w:tr>
        <w:tc>
          <w:tcPr>
            <w:tcW w:type="dxa" w:w="51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1010000">
            <w:pPr>
              <w:ind/>
              <w:jc w:val="center"/>
              <w:rPr>
                <w:sz w:val="24"/>
              </w:rPr>
            </w:pPr>
          </w:p>
        </w:tc>
        <w:tc>
          <w:tcPr>
            <w:tcW w:type="dxa" w:w="352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2010000">
            <w:pPr>
              <w:rPr>
                <w:sz w:val="24"/>
              </w:rPr>
            </w:pPr>
            <w:r>
              <w:rPr>
                <w:sz w:val="24"/>
              </w:rPr>
              <w:t xml:space="preserve">   </w:t>
            </w:r>
            <w:r>
              <w:rPr>
                <w:sz w:val="24"/>
              </w:rPr>
              <w:t>№</w:t>
            </w:r>
            <w:r>
              <w:rPr>
                <w:sz w:val="24"/>
              </w:rPr>
              <w:t xml:space="preserve"> </w:t>
            </w:r>
            <w:r>
              <w:rPr>
                <w:color w:val="000000"/>
                <w:sz w:val="24"/>
              </w:rPr>
              <w:t>__</w:t>
            </w:r>
          </w:p>
        </w:tc>
        <w:tc>
          <w:tcPr>
            <w:tcW w:type="dxa" w:w="84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3010000">
            <w:pPr>
              <w:ind/>
              <w:jc w:val="center"/>
              <w:rPr>
                <w:sz w:val="24"/>
              </w:rPr>
            </w:pPr>
          </w:p>
        </w:tc>
        <w:tc>
          <w:tcPr>
            <w:tcW w:type="dxa" w:w="130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4010000">
            <w:pPr>
              <w:ind/>
              <w:jc w:val="center"/>
              <w:rPr>
                <w:sz w:val="24"/>
              </w:rPr>
            </w:pPr>
          </w:p>
        </w:tc>
        <w:tc>
          <w:tcPr>
            <w:tcW w:type="dxa" w:w="175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5010000">
            <w:pPr>
              <w:ind/>
              <w:jc w:val="center"/>
              <w:rPr>
                <w:sz w:val="24"/>
              </w:rPr>
            </w:pPr>
          </w:p>
        </w:tc>
        <w:tc>
          <w:tcPr>
            <w:tcW w:type="dxa" w:w="147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6010000">
            <w:pPr>
              <w:ind/>
              <w:jc w:val="center"/>
              <w:rPr>
                <w:sz w:val="24"/>
              </w:rPr>
            </w:pPr>
          </w:p>
        </w:tc>
        <w:tc>
          <w:tcPr>
            <w:tcW w:type="dxa" w:w="269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7010000">
            <w:pPr>
              <w:ind/>
              <w:jc w:val="center"/>
              <w:rPr>
                <w:sz w:val="24"/>
              </w:rPr>
            </w:pPr>
          </w:p>
        </w:tc>
        <w:tc>
          <w:tcPr>
            <w:tcW w:type="dxa" w:w="2835"/>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8010000">
            <w:pPr>
              <w:ind/>
              <w:jc w:val="center"/>
              <w:rPr>
                <w:sz w:val="24"/>
              </w:rPr>
            </w:pPr>
          </w:p>
        </w:tc>
      </w:tr>
    </w:tbl>
    <w:p w14:paraId="F9010000">
      <w:pPr>
        <w:ind/>
        <w:jc w:val="both"/>
        <w:rPr>
          <w:sz w:val="24"/>
        </w:rPr>
      </w:pPr>
    </w:p>
    <w:p w14:paraId="FA010000">
      <w:pPr>
        <w:ind/>
        <w:jc w:val="both"/>
        <w:rPr>
          <w:sz w:val="24"/>
        </w:rPr>
      </w:pPr>
      <w:r>
        <w:rPr>
          <w:sz w:val="24"/>
        </w:rPr>
        <w:t>СПРАВОЧНО: Выручка предприятия за ________________ 20_</w:t>
      </w:r>
      <w:r>
        <w:rPr>
          <w:sz w:val="24"/>
        </w:rPr>
        <w:t>_</w:t>
      </w:r>
      <w:r>
        <w:rPr>
          <w:sz w:val="24"/>
        </w:rPr>
        <w:t>_ года составила _______________</w:t>
      </w:r>
      <w:r>
        <w:rPr>
          <w:sz w:val="24"/>
        </w:rPr>
        <w:t>___</w:t>
      </w:r>
      <w:r>
        <w:rPr>
          <w:sz w:val="24"/>
        </w:rPr>
        <w:t>__ тыс.</w:t>
      </w:r>
      <w:r>
        <w:rPr>
          <w:sz w:val="24"/>
        </w:rPr>
        <w:t xml:space="preserve"> </w:t>
      </w:r>
      <w:r>
        <w:rPr>
          <w:sz w:val="24"/>
        </w:rPr>
        <w:t>рублей</w:t>
      </w:r>
      <w:r>
        <w:rPr>
          <w:sz w:val="24"/>
        </w:rPr>
        <w:t>.</w:t>
      </w:r>
    </w:p>
    <w:p w14:paraId="FB010000">
      <w:pPr>
        <w:spacing w:line="315" w:lineRule="atLeast"/>
        <w:ind/>
        <w:rPr>
          <w:spacing w:val="2"/>
          <w:sz w:val="24"/>
        </w:rPr>
      </w:pPr>
    </w:p>
    <w:tbl>
      <w:tblPr>
        <w:tblStyle w:val="Style_4"/>
        <w:tblW w:type="auto" w:w="0"/>
        <w:tblInd w:type="dxa" w:w="108"/>
        <w:tblBorders>
          <w:top w:color="000000" w:sz="4" w:val="single"/>
          <w:left w:color="000000" w:sz="4" w:val="single"/>
          <w:bottom w:color="000000" w:sz="4" w:val="single"/>
          <w:right w:color="000000" w:sz="4" w:val="single"/>
        </w:tblBorders>
        <w:tblLayout w:type="fixed"/>
      </w:tblPr>
      <w:tblGrid>
        <w:gridCol w:w="2520"/>
        <w:gridCol w:w="1496"/>
        <w:gridCol w:w="1304"/>
        <w:gridCol w:w="2858"/>
        <w:gridCol w:w="1461"/>
      </w:tblGrid>
      <w:tr>
        <w:tc>
          <w:tcPr>
            <w:tcW w:type="dxa" w:w="2520"/>
            <w:tcBorders>
              <w:top w:sz="4" w:val="nil"/>
              <w:left w:sz="4" w:val="nil"/>
              <w:bottom w:sz="4" w:val="nil"/>
              <w:right w:sz="4" w:val="nil"/>
            </w:tcBorders>
          </w:tcPr>
          <w:p w14:paraId="FC010000">
            <w:pPr>
              <w:ind/>
              <w:jc w:val="both"/>
            </w:pPr>
            <w:r>
              <w:t>Руководитель</w:t>
            </w:r>
          </w:p>
        </w:tc>
        <w:tc>
          <w:tcPr>
            <w:tcW w:type="dxa" w:w="1496"/>
            <w:tcBorders>
              <w:top w:sz="4" w:val="nil"/>
              <w:left w:sz="4" w:val="nil"/>
              <w:bottom w:color="000000" w:sz="4" w:val="single"/>
              <w:right w:sz="4" w:val="nil"/>
            </w:tcBorders>
          </w:tcPr>
          <w:p w14:paraId="FD010000">
            <w:pPr>
              <w:ind/>
              <w:jc w:val="both"/>
            </w:pPr>
          </w:p>
        </w:tc>
        <w:tc>
          <w:tcPr>
            <w:tcW w:type="dxa" w:w="1304"/>
            <w:tcBorders>
              <w:top w:sz="4" w:val="nil"/>
              <w:left w:sz="4" w:val="nil"/>
              <w:bottom w:sz="4" w:val="nil"/>
              <w:right w:sz="4" w:val="nil"/>
            </w:tcBorders>
          </w:tcPr>
          <w:p w14:paraId="FE010000">
            <w:pPr>
              <w:ind/>
              <w:jc w:val="both"/>
            </w:pPr>
          </w:p>
        </w:tc>
        <w:tc>
          <w:tcPr>
            <w:tcW w:type="dxa" w:w="2858"/>
            <w:tcBorders>
              <w:top w:sz="4" w:val="nil"/>
              <w:left w:sz="4" w:val="nil"/>
              <w:bottom w:color="000000" w:sz="4" w:val="single"/>
              <w:right w:sz="4" w:val="nil"/>
            </w:tcBorders>
          </w:tcPr>
          <w:p w14:paraId="FF010000">
            <w:pPr>
              <w:ind/>
              <w:jc w:val="both"/>
            </w:pPr>
          </w:p>
        </w:tc>
        <w:tc>
          <w:tcPr>
            <w:tcW w:type="dxa" w:w="1461"/>
            <w:tcBorders>
              <w:top w:sz="4" w:val="nil"/>
              <w:left w:sz="4" w:val="nil"/>
              <w:bottom w:sz="4" w:val="nil"/>
              <w:right w:sz="4" w:val="nil"/>
            </w:tcBorders>
          </w:tcPr>
          <w:p w14:paraId="00020000">
            <w:pPr>
              <w:ind/>
              <w:jc w:val="both"/>
            </w:pPr>
          </w:p>
        </w:tc>
      </w:tr>
      <w:tr>
        <w:tc>
          <w:tcPr>
            <w:tcW w:type="dxa" w:w="2520"/>
            <w:tcBorders>
              <w:top w:sz="4" w:val="nil"/>
              <w:left w:sz="4" w:val="nil"/>
              <w:bottom w:sz="4" w:val="nil"/>
              <w:right w:sz="4" w:val="nil"/>
            </w:tcBorders>
          </w:tcPr>
          <w:p w14:paraId="01020000">
            <w:pPr>
              <w:ind/>
              <w:jc w:val="both"/>
            </w:pPr>
          </w:p>
        </w:tc>
        <w:tc>
          <w:tcPr>
            <w:tcW w:type="dxa" w:w="1496"/>
            <w:tcBorders>
              <w:top w:sz="4" w:val="nil"/>
              <w:left w:sz="4" w:val="nil"/>
              <w:bottom w:sz="4" w:val="nil"/>
              <w:right w:sz="4" w:val="nil"/>
            </w:tcBorders>
          </w:tcPr>
          <w:p w14:paraId="02020000">
            <w:pPr>
              <w:ind/>
              <w:jc w:val="center"/>
              <w:rPr>
                <w:sz w:val="24"/>
              </w:rPr>
            </w:pPr>
            <w:r>
              <w:rPr>
                <w:sz w:val="24"/>
              </w:rPr>
              <w:t>(подпись)</w:t>
            </w:r>
          </w:p>
        </w:tc>
        <w:tc>
          <w:tcPr>
            <w:tcW w:type="dxa" w:w="1304"/>
            <w:tcBorders>
              <w:top w:sz="4" w:val="nil"/>
              <w:left w:sz="4" w:val="nil"/>
              <w:bottom w:sz="4" w:val="nil"/>
              <w:right w:sz="4" w:val="nil"/>
            </w:tcBorders>
          </w:tcPr>
          <w:p w14:paraId="03020000">
            <w:pPr>
              <w:ind/>
              <w:jc w:val="both"/>
            </w:pPr>
          </w:p>
        </w:tc>
        <w:tc>
          <w:tcPr>
            <w:tcW w:type="dxa" w:w="2858"/>
            <w:tcBorders>
              <w:top w:sz="4" w:val="nil"/>
              <w:left w:sz="4" w:val="nil"/>
              <w:bottom w:sz="4" w:val="nil"/>
              <w:right w:sz="4" w:val="nil"/>
            </w:tcBorders>
          </w:tcPr>
          <w:p w14:paraId="04020000">
            <w:pPr>
              <w:ind/>
              <w:jc w:val="center"/>
              <w:rPr>
                <w:sz w:val="24"/>
              </w:rPr>
            </w:pPr>
            <w:r>
              <w:rPr>
                <w:sz w:val="24"/>
              </w:rPr>
              <w:t>(Ф.И.О.)</w:t>
            </w:r>
          </w:p>
        </w:tc>
        <w:tc>
          <w:tcPr>
            <w:tcW w:type="dxa" w:w="1461"/>
            <w:tcBorders>
              <w:top w:sz="4" w:val="nil"/>
              <w:left w:sz="4" w:val="nil"/>
              <w:bottom w:sz="4" w:val="nil"/>
              <w:right w:sz="4" w:val="nil"/>
            </w:tcBorders>
          </w:tcPr>
          <w:p w14:paraId="05020000">
            <w:pPr>
              <w:ind/>
              <w:jc w:val="both"/>
            </w:pPr>
          </w:p>
        </w:tc>
      </w:tr>
      <w:tr>
        <w:tc>
          <w:tcPr>
            <w:tcW w:type="dxa" w:w="9639"/>
            <w:gridSpan w:val="5"/>
            <w:tcBorders>
              <w:top w:sz="4" w:val="nil"/>
              <w:left w:sz="4" w:val="nil"/>
              <w:bottom w:sz="4" w:val="nil"/>
              <w:right w:sz="4" w:val="nil"/>
            </w:tcBorders>
          </w:tcPr>
          <w:p w14:paraId="06020000">
            <w:pPr>
              <w:ind/>
              <w:jc w:val="both"/>
            </w:pPr>
          </w:p>
        </w:tc>
      </w:tr>
      <w:tr>
        <w:tc>
          <w:tcPr>
            <w:tcW w:type="dxa" w:w="2520"/>
            <w:tcBorders>
              <w:top w:sz="4" w:val="nil"/>
              <w:left w:sz="4" w:val="nil"/>
              <w:bottom w:sz="4" w:val="nil"/>
              <w:right w:sz="4" w:val="nil"/>
            </w:tcBorders>
          </w:tcPr>
          <w:p w14:paraId="07020000">
            <w:pPr>
              <w:ind/>
              <w:jc w:val="both"/>
            </w:pPr>
            <w:r>
              <w:t>Главный бухгалтер</w:t>
            </w:r>
          </w:p>
        </w:tc>
        <w:tc>
          <w:tcPr>
            <w:tcW w:type="dxa" w:w="1496"/>
            <w:tcBorders>
              <w:top w:sz="4" w:val="nil"/>
              <w:left w:sz="4" w:val="nil"/>
              <w:bottom w:color="000000" w:sz="4" w:val="single"/>
              <w:right w:sz="4" w:val="nil"/>
            </w:tcBorders>
          </w:tcPr>
          <w:p w14:paraId="08020000">
            <w:pPr>
              <w:ind/>
              <w:jc w:val="both"/>
            </w:pPr>
          </w:p>
        </w:tc>
        <w:tc>
          <w:tcPr>
            <w:tcW w:type="dxa" w:w="1304"/>
            <w:tcBorders>
              <w:top w:sz="4" w:val="nil"/>
              <w:left w:sz="4" w:val="nil"/>
              <w:bottom w:sz="4" w:val="nil"/>
              <w:right w:sz="4" w:val="nil"/>
            </w:tcBorders>
          </w:tcPr>
          <w:p w14:paraId="09020000">
            <w:pPr>
              <w:ind/>
              <w:jc w:val="both"/>
            </w:pPr>
          </w:p>
        </w:tc>
        <w:tc>
          <w:tcPr>
            <w:tcW w:type="dxa" w:w="2858"/>
            <w:tcBorders>
              <w:top w:sz="4" w:val="nil"/>
              <w:left w:sz="4" w:val="nil"/>
              <w:bottom w:color="000000" w:sz="4" w:val="single"/>
              <w:right w:sz="4" w:val="nil"/>
            </w:tcBorders>
          </w:tcPr>
          <w:p w14:paraId="0A020000">
            <w:pPr>
              <w:ind/>
              <w:jc w:val="both"/>
            </w:pPr>
          </w:p>
        </w:tc>
        <w:tc>
          <w:tcPr>
            <w:tcW w:type="dxa" w:w="1461"/>
            <w:tcBorders>
              <w:top w:sz="4" w:val="nil"/>
              <w:left w:sz="4" w:val="nil"/>
              <w:bottom w:sz="4" w:val="nil"/>
              <w:right w:sz="4" w:val="nil"/>
            </w:tcBorders>
          </w:tcPr>
          <w:p w14:paraId="0B020000">
            <w:pPr>
              <w:ind/>
              <w:jc w:val="both"/>
            </w:pPr>
          </w:p>
        </w:tc>
      </w:tr>
      <w:tr>
        <w:tc>
          <w:tcPr>
            <w:tcW w:type="dxa" w:w="2520"/>
            <w:tcBorders>
              <w:top w:sz="4" w:val="nil"/>
              <w:left w:sz="4" w:val="nil"/>
              <w:bottom w:sz="4" w:val="nil"/>
              <w:right w:sz="4" w:val="nil"/>
            </w:tcBorders>
          </w:tcPr>
          <w:p w14:paraId="0C020000">
            <w:pPr>
              <w:ind/>
              <w:jc w:val="both"/>
            </w:pPr>
          </w:p>
        </w:tc>
        <w:tc>
          <w:tcPr>
            <w:tcW w:type="dxa" w:w="1496"/>
            <w:tcBorders>
              <w:top w:sz="4" w:val="nil"/>
              <w:left w:sz="4" w:val="nil"/>
              <w:bottom w:sz="4" w:val="nil"/>
              <w:right w:sz="4" w:val="nil"/>
            </w:tcBorders>
          </w:tcPr>
          <w:p w14:paraId="0D020000">
            <w:pPr>
              <w:ind/>
              <w:jc w:val="center"/>
              <w:rPr>
                <w:sz w:val="24"/>
              </w:rPr>
            </w:pPr>
            <w:r>
              <w:rPr>
                <w:sz w:val="24"/>
              </w:rPr>
              <w:t>(подпись)</w:t>
            </w:r>
          </w:p>
        </w:tc>
        <w:tc>
          <w:tcPr>
            <w:tcW w:type="dxa" w:w="1304"/>
            <w:tcBorders>
              <w:top w:sz="4" w:val="nil"/>
              <w:left w:sz="4" w:val="nil"/>
              <w:bottom w:sz="4" w:val="nil"/>
              <w:right w:sz="4" w:val="nil"/>
            </w:tcBorders>
          </w:tcPr>
          <w:p w14:paraId="0E020000">
            <w:pPr>
              <w:ind/>
              <w:jc w:val="both"/>
            </w:pPr>
          </w:p>
        </w:tc>
        <w:tc>
          <w:tcPr>
            <w:tcW w:type="dxa" w:w="2858"/>
            <w:tcBorders>
              <w:top w:sz="4" w:val="nil"/>
              <w:left w:sz="4" w:val="nil"/>
              <w:bottom w:sz="4" w:val="nil"/>
              <w:right w:sz="4" w:val="nil"/>
            </w:tcBorders>
          </w:tcPr>
          <w:p w14:paraId="0F020000">
            <w:pPr>
              <w:ind/>
              <w:jc w:val="center"/>
              <w:rPr>
                <w:sz w:val="24"/>
              </w:rPr>
            </w:pPr>
            <w:r>
              <w:rPr>
                <w:sz w:val="24"/>
              </w:rPr>
              <w:t>(Ф.И.О.)</w:t>
            </w:r>
          </w:p>
        </w:tc>
        <w:tc>
          <w:tcPr>
            <w:tcW w:type="dxa" w:w="1461"/>
            <w:tcBorders>
              <w:top w:sz="4" w:val="nil"/>
              <w:left w:sz="4" w:val="nil"/>
              <w:bottom w:sz="4" w:val="nil"/>
              <w:right w:sz="4" w:val="nil"/>
            </w:tcBorders>
          </w:tcPr>
          <w:p w14:paraId="10020000">
            <w:pPr>
              <w:ind/>
              <w:jc w:val="both"/>
            </w:pPr>
          </w:p>
        </w:tc>
      </w:tr>
    </w:tbl>
    <w:p w14:paraId="11020000">
      <w:pPr>
        <w:pStyle w:val="Style_3"/>
        <w:ind/>
        <w:jc w:val="both"/>
        <w:rPr>
          <w:rFonts w:ascii="Times New Roman" w:hAnsi="Times New Roman"/>
          <w:sz w:val="28"/>
        </w:rPr>
      </w:pPr>
    </w:p>
    <w:tbl>
      <w:tblPr>
        <w:tblStyle w:val="Style_4"/>
        <w:tblW w:type="auto" w:w="0"/>
        <w:tblInd w:type="dxa" w:w="108"/>
        <w:tblBorders>
          <w:top w:color="000000" w:sz="4" w:val="single"/>
          <w:left w:color="000000" w:sz="4" w:val="single"/>
          <w:bottom w:color="000000" w:sz="4" w:val="single"/>
          <w:right w:color="000000" w:sz="4" w:val="single"/>
        </w:tblBorders>
        <w:tblLayout w:type="fixed"/>
      </w:tblPr>
      <w:tblGrid>
        <w:gridCol w:w="9356"/>
      </w:tblGrid>
      <w:tr>
        <w:tc>
          <w:tcPr>
            <w:tcW w:type="dxa" w:w="9356"/>
            <w:tcBorders>
              <w:top w:sz="4" w:val="nil"/>
              <w:left w:sz="4" w:val="nil"/>
              <w:bottom w:sz="4" w:val="nil"/>
              <w:right w:sz="4" w:val="nil"/>
            </w:tcBorders>
          </w:tcPr>
          <w:p w14:paraId="12020000">
            <w:pPr>
              <w:ind/>
              <w:jc w:val="both"/>
              <w:rPr>
                <w:sz w:val="20"/>
              </w:rPr>
            </w:pPr>
            <w:r>
              <w:rPr>
                <w:sz w:val="20"/>
              </w:rPr>
              <w:t>Дата</w:t>
            </w:r>
          </w:p>
        </w:tc>
      </w:tr>
      <w:tr>
        <w:tc>
          <w:tcPr>
            <w:tcW w:type="dxa" w:w="9356"/>
            <w:tcBorders>
              <w:top w:sz="4" w:val="nil"/>
              <w:left w:sz="4" w:val="nil"/>
              <w:bottom w:sz="4" w:val="nil"/>
              <w:right w:sz="4" w:val="nil"/>
            </w:tcBorders>
          </w:tcPr>
          <w:p w14:paraId="13020000">
            <w:pPr>
              <w:ind/>
              <w:jc w:val="both"/>
              <w:rPr>
                <w:sz w:val="20"/>
              </w:rPr>
            </w:pPr>
            <w:r>
              <w:rPr>
                <w:sz w:val="20"/>
              </w:rPr>
              <w:t>М.П.</w:t>
            </w:r>
          </w:p>
        </w:tc>
      </w:tr>
    </w:tbl>
    <w:p w14:paraId="14020000">
      <w:pPr>
        <w:sectPr>
          <w:headerReference r:id="rId2" w:type="default"/>
          <w:pgSz w:h="11906" w:orient="landscape" w:w="16838"/>
          <w:pgMar w:bottom="851" w:footer="709" w:gutter="0" w:header="709" w:left="993" w:right="1134" w:top="1701"/>
        </w:sectPr>
      </w:pPr>
    </w:p>
    <w:p w14:paraId="15020000">
      <w:pPr>
        <w:pStyle w:val="Style_2"/>
        <w:widowControl w:val="1"/>
        <w:ind w:firstLine="0" w:left="5954" w:right="0"/>
        <w:jc w:val="center"/>
        <w:rPr>
          <w:rFonts w:ascii="Times New Roman" w:hAnsi="Times New Roman"/>
          <w:sz w:val="28"/>
        </w:rPr>
      </w:pPr>
      <w:r>
        <w:rPr>
          <w:rFonts w:ascii="Times New Roman" w:hAnsi="Times New Roman"/>
          <w:sz w:val="28"/>
        </w:rPr>
        <w:t>Приложение</w:t>
      </w:r>
      <w:r>
        <w:rPr>
          <w:rFonts w:ascii="Times New Roman" w:hAnsi="Times New Roman"/>
          <w:sz w:val="28"/>
        </w:rPr>
        <w:t xml:space="preserve"> № 2</w:t>
      </w:r>
    </w:p>
    <w:p w14:paraId="16020000">
      <w:pPr>
        <w:pStyle w:val="Style_2"/>
        <w:widowControl w:val="1"/>
        <w:ind w:firstLine="0" w:left="5954" w:right="0"/>
        <w:jc w:val="center"/>
        <w:rPr>
          <w:rFonts w:ascii="Times New Roman" w:hAnsi="Times New Roman"/>
          <w:sz w:val="28"/>
        </w:rPr>
      </w:pPr>
      <w:r>
        <w:rPr>
          <w:rFonts w:ascii="Times New Roman" w:hAnsi="Times New Roman"/>
          <w:sz w:val="28"/>
        </w:rPr>
        <w:t>к постановлению</w:t>
      </w:r>
    </w:p>
    <w:p w14:paraId="17020000">
      <w:pPr>
        <w:pStyle w:val="Style_2"/>
        <w:widowControl w:val="1"/>
        <w:ind w:firstLine="0" w:left="5954" w:right="0"/>
        <w:jc w:val="center"/>
        <w:rPr>
          <w:rFonts w:ascii="Times New Roman" w:hAnsi="Times New Roman"/>
          <w:sz w:val="28"/>
        </w:rPr>
      </w:pPr>
      <w:r>
        <w:rPr>
          <w:rFonts w:ascii="Times New Roman" w:hAnsi="Times New Roman"/>
          <w:sz w:val="28"/>
        </w:rPr>
        <w:t>Администрации</w:t>
      </w:r>
    </w:p>
    <w:p w14:paraId="18020000">
      <w:pPr>
        <w:pStyle w:val="Style_2"/>
        <w:widowControl w:val="1"/>
        <w:ind w:firstLine="0" w:left="5954" w:right="0"/>
        <w:jc w:val="center"/>
        <w:rPr>
          <w:rFonts w:ascii="Times New Roman" w:hAnsi="Times New Roman"/>
          <w:sz w:val="28"/>
        </w:rPr>
      </w:pPr>
      <w:r>
        <w:rPr>
          <w:rFonts w:ascii="Times New Roman" w:hAnsi="Times New Roman"/>
          <w:sz w:val="28"/>
        </w:rPr>
        <w:t>города Батайска</w:t>
      </w:r>
    </w:p>
    <w:p w14:paraId="19020000">
      <w:pPr>
        <w:pStyle w:val="Style_2"/>
        <w:widowControl w:val="1"/>
        <w:ind w:firstLine="0" w:left="5954" w:right="0"/>
        <w:jc w:val="center"/>
        <w:rPr>
          <w:rFonts w:ascii="Times New Roman" w:hAnsi="Times New Roman"/>
          <w:sz w:val="28"/>
        </w:rPr>
      </w:pPr>
      <w:r>
        <w:rPr>
          <w:rFonts w:ascii="Times New Roman" w:hAnsi="Times New Roman"/>
          <w:sz w:val="28"/>
        </w:rPr>
        <w:t>от ___________ № _____</w:t>
      </w:r>
    </w:p>
    <w:p w14:paraId="1A020000">
      <w:pPr>
        <w:ind w:left="567" w:right="565"/>
        <w:jc w:val="center"/>
      </w:pPr>
    </w:p>
    <w:p w14:paraId="1B020000">
      <w:pPr>
        <w:ind w:left="567" w:right="565"/>
        <w:jc w:val="center"/>
      </w:pPr>
      <w:r>
        <w:t>Положение</w:t>
      </w:r>
      <w:r>
        <w:t xml:space="preserve"> </w:t>
      </w:r>
      <w:r>
        <w:t xml:space="preserve">о </w:t>
      </w:r>
      <w:r>
        <w:t>комиссии</w:t>
      </w:r>
      <w:r>
        <w:t xml:space="preserve"> </w:t>
      </w:r>
      <w:r>
        <w:t xml:space="preserve">для отбора </w:t>
      </w:r>
      <w:r>
        <w:rPr>
          <w:b w:val="0"/>
        </w:rPr>
        <w:t>получателей субсиди</w:t>
      </w:r>
      <w:r>
        <w:rPr>
          <w:b w:val="0"/>
        </w:rPr>
        <w:t>и</w:t>
      </w:r>
      <w:r>
        <w:rPr>
          <w:b w:val="0"/>
        </w:rPr>
        <w:t xml:space="preserve"> юридическим лицам (кроме некоммерческих организаций), индивидуальным предпринимателям – производителям товаров, работ, услуг и субсидии юридическим лицам, индивидуальным предпринимателям,</w:t>
      </w:r>
      <w:r>
        <w:rPr>
          <w:b w:val="0"/>
        </w:rPr>
        <w:t xml:space="preserve"> </w:t>
      </w:r>
      <w:r>
        <w:rPr>
          <w:b w:val="0"/>
        </w:rPr>
        <w:t>осуществляющим регулярные перевозки пассажиров и багажа автомобильным транспортом</w:t>
      </w:r>
      <w:r>
        <w:rPr>
          <w:b w:val="0"/>
        </w:rPr>
        <w:t xml:space="preserve"> по муниципальным маршрутам города Батайска на компенсацию </w:t>
      </w:r>
      <w:r>
        <w:rPr>
          <w:b w:val="0"/>
        </w:rPr>
        <w:t>выпадающих доходов из-за разницы между тарифом на перевозку пассажиров и багажа и экономически обоснованным тарифом</w:t>
      </w:r>
    </w:p>
    <w:p w14:paraId="1C020000">
      <w:pPr>
        <w:ind w:left="567" w:right="565"/>
        <w:jc w:val="center"/>
        <w:rPr>
          <w:b w:val="0"/>
        </w:rPr>
      </w:pPr>
    </w:p>
    <w:p w14:paraId="1D020000">
      <w:pPr>
        <w:pStyle w:val="Style_3"/>
        <w:ind w:firstLine="709"/>
        <w:jc w:val="both"/>
        <w:rPr>
          <w:rFonts w:ascii="Times New Roman" w:hAnsi="Times New Roman"/>
          <w:sz w:val="28"/>
        </w:rPr>
      </w:pPr>
      <w:r>
        <w:rPr>
          <w:rFonts w:ascii="Times New Roman" w:hAnsi="Times New Roman"/>
          <w:sz w:val="28"/>
        </w:rPr>
        <w:t xml:space="preserve">1. </w:t>
      </w:r>
      <w:r>
        <w:rPr>
          <w:rFonts w:ascii="Times New Roman" w:hAnsi="Times New Roman"/>
          <w:sz w:val="28"/>
        </w:rPr>
        <w:t xml:space="preserve">Комиссия для отбора получателей </w:t>
      </w:r>
      <w:r>
        <w:rPr>
          <w:rFonts w:ascii="Times New Roman" w:hAnsi="Times New Roman"/>
          <w:sz w:val="28"/>
        </w:rPr>
        <w:t xml:space="preserve">субсидии </w:t>
      </w:r>
      <w:r>
        <w:rPr>
          <w:rFonts w:ascii="Times New Roman" w:hAnsi="Times New Roman"/>
          <w:sz w:val="28"/>
        </w:rPr>
        <w:t>и рассмотрения заявок на предоставление субсиди</w:t>
      </w:r>
      <w:r>
        <w:rPr>
          <w:rFonts w:ascii="Times New Roman" w:hAnsi="Times New Roman"/>
          <w:sz w:val="28"/>
        </w:rPr>
        <w:t>и</w:t>
      </w:r>
      <w:r>
        <w:rPr>
          <w:rFonts w:ascii="Times New Roman" w:hAnsi="Times New Roman"/>
          <w:sz w:val="28"/>
        </w:rPr>
        <w:t xml:space="preserve"> из бюджета города Батайска </w:t>
      </w:r>
      <w:r>
        <w:rPr>
          <w:rFonts w:ascii="Times New Roman" w:hAnsi="Times New Roman"/>
          <w:sz w:val="28"/>
        </w:rPr>
        <w:t>на компенсацию перевозчикам, осуществляющим регулярные перевозки пассажиров и багажа автомобильным транспортом</w:t>
      </w:r>
      <w:r>
        <w:rPr>
          <w:rFonts w:ascii="Times New Roman" w:hAnsi="Times New Roman"/>
          <w:sz w:val="28"/>
        </w:rPr>
        <w:t xml:space="preserve"> </w:t>
      </w:r>
      <w:r>
        <w:rPr>
          <w:rFonts w:ascii="Times New Roman" w:hAnsi="Times New Roman"/>
          <w:sz w:val="28"/>
        </w:rPr>
        <w:t>по муниципальным маршрутам города Батайска</w:t>
      </w:r>
      <w:r>
        <w:rPr>
          <w:rFonts w:ascii="Times New Roman" w:hAnsi="Times New Roman"/>
          <w:sz w:val="28"/>
        </w:rPr>
        <w:t xml:space="preserve">, выпадающих доходов из-за разницы между тарифом на перевозку пассажиров и багажа и экономически обоснованным тарифом </w:t>
      </w:r>
      <w:r>
        <w:rPr>
          <w:rFonts w:ascii="Times New Roman" w:hAnsi="Times New Roman"/>
          <w:sz w:val="28"/>
        </w:rPr>
        <w:t xml:space="preserve">(далее – комиссия) </w:t>
      </w:r>
      <w:r>
        <w:rPr>
          <w:rFonts w:ascii="Times New Roman" w:hAnsi="Times New Roman"/>
          <w:sz w:val="28"/>
        </w:rPr>
        <w:t xml:space="preserve">– </w:t>
      </w:r>
      <w:r>
        <w:rPr>
          <w:rFonts w:ascii="Times New Roman" w:hAnsi="Times New Roman"/>
          <w:sz w:val="28"/>
        </w:rPr>
        <w:t xml:space="preserve">коллегиальный орган, который образован с целью объективного, взвешенного </w:t>
      </w:r>
      <w:r>
        <w:rPr>
          <w:rFonts w:ascii="Times New Roman" w:hAnsi="Times New Roman"/>
          <w:sz w:val="28"/>
        </w:rPr>
        <w:t>отбора получателей субсидии и</w:t>
      </w:r>
      <w:r>
        <w:rPr>
          <w:rFonts w:ascii="Times New Roman" w:hAnsi="Times New Roman"/>
          <w:sz w:val="28"/>
        </w:rPr>
        <w:t xml:space="preserve"> </w:t>
      </w:r>
      <w:r>
        <w:rPr>
          <w:rFonts w:ascii="Times New Roman" w:hAnsi="Times New Roman"/>
          <w:sz w:val="28"/>
        </w:rPr>
        <w:t xml:space="preserve">рассмотрения </w:t>
      </w:r>
      <w:r>
        <w:rPr>
          <w:rFonts w:ascii="Times New Roman" w:hAnsi="Times New Roman"/>
          <w:color w:val="000000"/>
          <w:sz w:val="28"/>
          <w:highlight w:val="white"/>
        </w:rPr>
        <w:t xml:space="preserve">заявок на </w:t>
      </w:r>
      <w:r>
        <w:rPr>
          <w:rFonts w:ascii="Times New Roman" w:hAnsi="Times New Roman"/>
          <w:color w:val="000000"/>
          <w:sz w:val="28"/>
          <w:highlight w:val="white"/>
        </w:rPr>
        <w:t>предоставление</w:t>
      </w:r>
      <w:r>
        <w:rPr>
          <w:rFonts w:ascii="Times New Roman" w:hAnsi="Times New Roman"/>
          <w:color w:val="000000"/>
          <w:sz w:val="28"/>
          <w:highlight w:val="white"/>
        </w:rPr>
        <w:t xml:space="preserve"> субсидий из бюджета города Батайска</w:t>
      </w:r>
      <w:r>
        <w:rPr>
          <w:rFonts w:ascii="Times New Roman" w:hAnsi="Times New Roman"/>
          <w:sz w:val="28"/>
        </w:rPr>
        <w:t xml:space="preserve"> </w:t>
      </w:r>
      <w:r>
        <w:rPr>
          <w:rFonts w:ascii="Times New Roman" w:hAnsi="Times New Roman"/>
          <w:sz w:val="28"/>
        </w:rPr>
        <w:t>на компенсацию перевозчикам, осуществляющим регулярные перевозки пассажиров и багажа автомобильным транспортом</w:t>
      </w:r>
      <w:r>
        <w:rPr>
          <w:rFonts w:ascii="Times New Roman" w:hAnsi="Times New Roman"/>
          <w:sz w:val="28"/>
        </w:rPr>
        <w:t xml:space="preserve"> </w:t>
      </w:r>
      <w:r>
        <w:rPr>
          <w:rFonts w:ascii="Times New Roman" w:hAnsi="Times New Roman"/>
          <w:sz w:val="28"/>
        </w:rPr>
        <w:t>по муниципальным маршрутам города Батайска</w:t>
      </w:r>
      <w:r>
        <w:rPr>
          <w:rFonts w:ascii="Times New Roman" w:hAnsi="Times New Roman"/>
          <w:sz w:val="28"/>
        </w:rPr>
        <w:t>, выпадающих доходов из-за разницы между тарифом на перевозку пассажиров и багажа и экономически обоснованным тарифом</w:t>
      </w:r>
      <w:r>
        <w:rPr>
          <w:rFonts w:ascii="Times New Roman" w:hAnsi="Times New Roman"/>
          <w:sz w:val="28"/>
        </w:rPr>
        <w:t>.</w:t>
      </w:r>
    </w:p>
    <w:p w14:paraId="1E020000">
      <w:pPr>
        <w:pStyle w:val="Style_5"/>
        <w:tabs>
          <w:tab w:leader="none" w:pos="6738" w:val="left"/>
        </w:tabs>
        <w:spacing w:after="0" w:line="240" w:lineRule="auto"/>
        <w:ind w:firstLine="709" w:left="0"/>
        <w:jc w:val="both"/>
        <w:rPr>
          <w:rFonts w:ascii="Times New Roman" w:hAnsi="Times New Roman"/>
          <w:sz w:val="28"/>
        </w:rPr>
      </w:pPr>
      <w:r>
        <w:rPr>
          <w:rFonts w:ascii="Times New Roman" w:hAnsi="Times New Roman"/>
          <w:sz w:val="28"/>
        </w:rPr>
        <w:t>2. В своей деятельности комиссия руководствуется Бюджетным кодексом Российской Федерации и иными федеральными законами, Указами Президента Российской Федерации, постановлениями правительства Российской Федерации</w:t>
      </w:r>
      <w:r>
        <w:rPr>
          <w:rFonts w:ascii="Times New Roman" w:hAnsi="Times New Roman"/>
          <w:color w:val="000000"/>
          <w:sz w:val="28"/>
        </w:rPr>
        <w:t>, постановлениями Правительства Ростовской области</w:t>
      </w:r>
      <w:r>
        <w:rPr>
          <w:rFonts w:ascii="Times New Roman" w:hAnsi="Times New Roman"/>
          <w:sz w:val="28"/>
        </w:rPr>
        <w:t>,</w:t>
      </w:r>
      <w:r>
        <w:rPr>
          <w:rFonts w:ascii="Times New Roman" w:hAnsi="Times New Roman"/>
          <w:sz w:val="28"/>
        </w:rPr>
        <w:t xml:space="preserve"> Администрации города Батайска, решениями</w:t>
      </w:r>
      <w:r>
        <w:rPr>
          <w:rFonts w:ascii="Times New Roman" w:hAnsi="Times New Roman"/>
          <w:sz w:val="28"/>
        </w:rPr>
        <w:t xml:space="preserve"> </w:t>
      </w:r>
      <w:r>
        <w:rPr>
          <w:rFonts w:ascii="Times New Roman" w:hAnsi="Times New Roman"/>
          <w:sz w:val="28"/>
        </w:rPr>
        <w:t>Батайской</w:t>
      </w:r>
      <w:r>
        <w:rPr>
          <w:rFonts w:ascii="Times New Roman" w:hAnsi="Times New Roman"/>
          <w:sz w:val="28"/>
        </w:rPr>
        <w:t xml:space="preserve"> городской Думы, Уставом города, а также данным Положением.</w:t>
      </w:r>
    </w:p>
    <w:p w14:paraId="1F020000">
      <w:pPr>
        <w:pStyle w:val="Style_5"/>
        <w:tabs>
          <w:tab w:leader="none" w:pos="6738" w:val="left"/>
        </w:tabs>
        <w:spacing w:after="0" w:line="240" w:lineRule="auto"/>
        <w:ind w:firstLine="709" w:left="0"/>
        <w:jc w:val="both"/>
        <w:rPr>
          <w:rFonts w:ascii="Times New Roman" w:hAnsi="Times New Roman"/>
          <w:sz w:val="28"/>
        </w:rPr>
      </w:pPr>
      <w:r>
        <w:rPr>
          <w:rFonts w:ascii="Times New Roman" w:hAnsi="Times New Roman"/>
          <w:sz w:val="28"/>
        </w:rPr>
        <w:t xml:space="preserve">3. Для </w:t>
      </w:r>
      <w:r>
        <w:rPr>
          <w:rFonts w:ascii="Times New Roman" w:hAnsi="Times New Roman"/>
          <w:sz w:val="28"/>
        </w:rPr>
        <w:t>отбора получателей для предоставления субсидии</w:t>
      </w:r>
      <w:r>
        <w:rPr>
          <w:rFonts w:ascii="Times New Roman" w:hAnsi="Times New Roman"/>
          <w:sz w:val="28"/>
        </w:rPr>
        <w:t xml:space="preserve"> к</w:t>
      </w:r>
      <w:r>
        <w:rPr>
          <w:rFonts w:ascii="Times New Roman" w:hAnsi="Times New Roman"/>
          <w:color w:val="000000"/>
          <w:sz w:val="28"/>
        </w:rPr>
        <w:t xml:space="preserve">омиссия в срок не более 5 рабочих дней со дня окончания срока приема заявок </w:t>
      </w:r>
      <w:r>
        <w:rPr>
          <w:rFonts w:ascii="Times New Roman" w:hAnsi="Times New Roman"/>
          <w:sz w:val="28"/>
        </w:rPr>
        <w:t>на участие в отборе на предоставление субсидии</w:t>
      </w:r>
      <w:r>
        <w:rPr>
          <w:rFonts w:ascii="Times New Roman" w:hAnsi="Times New Roman"/>
          <w:color w:val="000000"/>
          <w:sz w:val="28"/>
        </w:rPr>
        <w:t>:</w:t>
      </w:r>
    </w:p>
    <w:p w14:paraId="20020000">
      <w:pPr>
        <w:pStyle w:val="Style_5"/>
        <w:tabs>
          <w:tab w:leader="none" w:pos="6738" w:val="left"/>
        </w:tabs>
        <w:spacing w:after="0" w:line="240" w:lineRule="auto"/>
        <w:ind w:firstLine="709" w:left="0"/>
        <w:jc w:val="both"/>
        <w:rPr>
          <w:rFonts w:ascii="Times New Roman" w:hAnsi="Times New Roman"/>
          <w:color w:val="000000"/>
          <w:sz w:val="28"/>
        </w:rPr>
      </w:pPr>
      <w:r>
        <w:rPr>
          <w:rFonts w:ascii="Times New Roman" w:hAnsi="Times New Roman"/>
          <w:color w:val="000000"/>
          <w:sz w:val="28"/>
        </w:rPr>
        <w:t xml:space="preserve">1) рассматривает представленные заявки </w:t>
      </w:r>
      <w:r>
        <w:rPr>
          <w:rFonts w:ascii="Times New Roman" w:hAnsi="Times New Roman"/>
          <w:sz w:val="28"/>
        </w:rPr>
        <w:t>на участие в отборе на предоставление субсидии</w:t>
      </w:r>
      <w:r>
        <w:rPr>
          <w:rFonts w:ascii="Times New Roman" w:hAnsi="Times New Roman"/>
          <w:color w:val="000000"/>
          <w:sz w:val="28"/>
        </w:rPr>
        <w:t xml:space="preserve"> </w:t>
      </w:r>
      <w:r>
        <w:rPr>
          <w:rFonts w:ascii="Times New Roman" w:hAnsi="Times New Roman"/>
          <w:color w:val="000000"/>
          <w:sz w:val="28"/>
        </w:rPr>
        <w:t>и прилагаемые к ним документы на предмет их соответствия установленным в объявлении о проведении отбора требованиям;</w:t>
      </w:r>
    </w:p>
    <w:p w14:paraId="21020000">
      <w:pPr>
        <w:pStyle w:val="Style_5"/>
        <w:tabs>
          <w:tab w:leader="none" w:pos="6738" w:val="left"/>
        </w:tabs>
        <w:spacing w:after="0" w:line="240" w:lineRule="auto"/>
        <w:ind w:firstLine="709" w:left="0"/>
        <w:jc w:val="both"/>
        <w:rPr>
          <w:rFonts w:ascii="Times New Roman" w:hAnsi="Times New Roman"/>
          <w:color w:val="000000"/>
          <w:sz w:val="28"/>
        </w:rPr>
      </w:pPr>
      <w:r>
        <w:rPr>
          <w:rFonts w:ascii="Times New Roman" w:hAnsi="Times New Roman"/>
          <w:color w:val="000000"/>
          <w:sz w:val="28"/>
        </w:rPr>
        <w:t xml:space="preserve">2) принимает решение о целесообразности принятия </w:t>
      </w:r>
      <w:r>
        <w:rPr>
          <w:rFonts w:ascii="Times New Roman" w:hAnsi="Times New Roman"/>
          <w:color w:val="000000"/>
          <w:sz w:val="28"/>
        </w:rPr>
        <w:t xml:space="preserve">заявки </w:t>
      </w:r>
      <w:r>
        <w:rPr>
          <w:rFonts w:ascii="Times New Roman" w:hAnsi="Times New Roman"/>
          <w:sz w:val="28"/>
        </w:rPr>
        <w:t>на участие в отборе на предоставление субсидии</w:t>
      </w:r>
      <w:r>
        <w:rPr>
          <w:rFonts w:ascii="Times New Roman" w:hAnsi="Times New Roman"/>
          <w:color w:val="000000"/>
          <w:sz w:val="28"/>
        </w:rPr>
        <w:t xml:space="preserve"> и предоставлении субсидии Получателю или об отклонении заявки и отказе в предоставлении субсидии;</w:t>
      </w:r>
    </w:p>
    <w:p w14:paraId="22020000">
      <w:pPr>
        <w:pStyle w:val="Style_5"/>
        <w:tabs>
          <w:tab w:leader="none" w:pos="6738" w:val="left"/>
        </w:tabs>
        <w:spacing w:after="0" w:line="240" w:lineRule="auto"/>
        <w:ind w:firstLine="709" w:left="0"/>
        <w:jc w:val="both"/>
        <w:rPr>
          <w:rFonts w:ascii="Times New Roman" w:hAnsi="Times New Roman"/>
          <w:color w:val="000000"/>
          <w:sz w:val="28"/>
          <w:highlight w:val="white"/>
        </w:rPr>
      </w:pPr>
      <w:r>
        <w:rPr>
          <w:rFonts w:ascii="Times New Roman" w:hAnsi="Times New Roman"/>
          <w:color w:val="000000"/>
          <w:sz w:val="28"/>
          <w:highlight w:val="white"/>
        </w:rPr>
        <w:t>3) проверяет отчетность о достижении результатов предоставления субсидии.</w:t>
      </w:r>
    </w:p>
    <w:p w14:paraId="23020000">
      <w:pPr>
        <w:ind w:firstLine="709"/>
        <w:contextualSpacing w:val="1"/>
        <w:jc w:val="both"/>
      </w:pPr>
      <w:r>
        <w:t>4. Комиссия отклоняет заявку участника отбора по следующим основаниям:</w:t>
      </w:r>
    </w:p>
    <w:p w14:paraId="24020000">
      <w:pPr>
        <w:ind w:firstLine="709"/>
        <w:contextualSpacing w:val="1"/>
        <w:jc w:val="both"/>
      </w:pPr>
      <w:r>
        <w:t xml:space="preserve">а) несоответствие участника отбора требованиям, установленным пунктом 2.5 Порядка предоставления субсидий из бюджета города Батайска </w:t>
      </w:r>
      <w:r>
        <w:t>на компенсацию перевозчикам, осуществляющим регулярные перевозки пассажиров и багажа автомобильным транспортом, выпадающих доходов из-за разницы между тарифом на перевозку пассажиров и багажа и экономически обоснованным тарифом по муниципальным маршрутам города Батайска</w:t>
      </w:r>
      <w:r>
        <w:t xml:space="preserve"> (далее – </w:t>
      </w:r>
      <w:r>
        <w:t>Порядок</w:t>
      </w:r>
      <w:r>
        <w:t>);</w:t>
      </w:r>
    </w:p>
    <w:p w14:paraId="25020000">
      <w:pPr>
        <w:ind w:firstLine="709"/>
        <w:contextualSpacing w:val="1"/>
        <w:jc w:val="both"/>
      </w:pPr>
      <w:r>
        <w:t>б) непредставление участником отбора документов, предусмотренных пунктом 2.6 Порядка;</w:t>
      </w:r>
    </w:p>
    <w:p w14:paraId="26020000">
      <w:pPr>
        <w:ind w:firstLine="709"/>
        <w:contextualSpacing w:val="1"/>
        <w:jc w:val="both"/>
      </w:pPr>
      <w:r>
        <w:t>в) несоответствие представленных участником отбора заявки и документов требованиям, установленным в пункте 2.7 Порядка;</w:t>
      </w:r>
    </w:p>
    <w:p w14:paraId="27020000">
      <w:pPr>
        <w:ind w:firstLine="709"/>
        <w:contextualSpacing w:val="1"/>
        <w:jc w:val="both"/>
      </w:pPr>
      <w:r>
        <w:t>г) участником отбора представлено более одной заявки на участие в отборе;</w:t>
      </w:r>
    </w:p>
    <w:p w14:paraId="28020000">
      <w:pPr>
        <w:ind w:firstLine="709"/>
        <w:contextualSpacing w:val="1"/>
        <w:jc w:val="both"/>
      </w:pPr>
      <w:r>
        <w:t>д) участником отбора подана заявка после даты и (или) времени, определенных для подачи заявок.</w:t>
      </w:r>
    </w:p>
    <w:p w14:paraId="29020000">
      <w:pPr>
        <w:ind w:firstLine="709"/>
        <w:contextualSpacing w:val="1"/>
        <w:jc w:val="both"/>
      </w:pPr>
      <w:r>
        <w:t xml:space="preserve">5. Для рассмотрения заявок </w:t>
      </w:r>
      <w:r>
        <w:t>на предоставление субсиди</w:t>
      </w:r>
      <w:r>
        <w:t>и</w:t>
      </w:r>
      <w:r>
        <w:t xml:space="preserve"> </w:t>
      </w:r>
      <w:r>
        <w:t>из бюджета города Батайска</w:t>
      </w:r>
      <w:r>
        <w:t xml:space="preserve"> </w:t>
      </w:r>
      <w:r>
        <w:t xml:space="preserve">комиссия не позднее 10 рабочих дней </w:t>
      </w:r>
      <w:r>
        <w:t>с</w:t>
      </w:r>
      <w:r>
        <w:t xml:space="preserve"> даты получения</w:t>
      </w:r>
      <w:r>
        <w:t xml:space="preserve"> заявления с приложением документов согласно п. 3.3 </w:t>
      </w:r>
      <w:r>
        <w:t xml:space="preserve">Порядка </w:t>
      </w:r>
      <w:r>
        <w:t>рассматривает заявление на предоставление субсидии.</w:t>
      </w:r>
    </w:p>
    <w:p w14:paraId="2A020000">
      <w:pPr>
        <w:pStyle w:val="Style_6"/>
        <w:ind w:firstLine="709"/>
        <w:jc w:val="both"/>
        <w:rPr>
          <w:sz w:val="28"/>
        </w:rPr>
      </w:pPr>
      <w:r>
        <w:rPr>
          <w:sz w:val="28"/>
        </w:rPr>
        <w:t>По итогам рассмотрения комиссия принимает решение о предоставл</w:t>
      </w:r>
      <w:r>
        <w:rPr>
          <w:sz w:val="28"/>
        </w:rPr>
        <w:t>ении</w:t>
      </w:r>
      <w:r>
        <w:rPr>
          <w:sz w:val="28"/>
        </w:rPr>
        <w:t xml:space="preserve"> субсидии</w:t>
      </w:r>
      <w:r>
        <w:t xml:space="preserve"> </w:t>
      </w:r>
      <w:r>
        <w:rPr>
          <w:sz w:val="28"/>
        </w:rPr>
        <w:t>либо об отказе в представлении субсидии.</w:t>
      </w:r>
    </w:p>
    <w:p w14:paraId="2B020000">
      <w:pPr>
        <w:pStyle w:val="Style_6"/>
        <w:ind w:firstLine="709"/>
        <w:jc w:val="both"/>
        <w:rPr>
          <w:sz w:val="28"/>
        </w:rPr>
      </w:pPr>
      <w:r>
        <w:rPr>
          <w:sz w:val="28"/>
        </w:rPr>
        <w:t>Основанием для отказа Получателю субсидии в предоставлении субсидии является:</w:t>
      </w:r>
    </w:p>
    <w:p w14:paraId="2C020000">
      <w:pPr>
        <w:ind w:firstLine="709"/>
        <w:contextualSpacing w:val="1"/>
        <w:jc w:val="both"/>
      </w:pPr>
      <w:r>
        <w:t>- установление факта недостоверности представленной Получателем субсидии информации;</w:t>
      </w:r>
    </w:p>
    <w:p w14:paraId="2D020000">
      <w:pPr>
        <w:ind w:firstLine="709"/>
        <w:contextualSpacing w:val="1"/>
        <w:jc w:val="both"/>
      </w:pPr>
      <w:r>
        <w:t>- непредставление (представление не в полном объеме) документов, указанных в пункте 3.3 настоящего Порядка.</w:t>
      </w:r>
    </w:p>
    <w:p w14:paraId="2E020000">
      <w:pPr>
        <w:ind w:firstLine="709"/>
        <w:jc w:val="both"/>
      </w:pPr>
      <w:r>
        <w:rPr>
          <w:color w:val="000000"/>
          <w:highlight w:val="white"/>
        </w:rPr>
        <w:t>4.</w:t>
      </w:r>
      <w:r>
        <w:rPr>
          <w:color w:val="000000"/>
        </w:rPr>
        <w:t xml:space="preserve"> Решения Комиссии заносятся в протокол заседания Комиссии. </w:t>
      </w:r>
      <w:r>
        <w:t>Протокол заседания комиссии подписывается председателем, членами и секретарем комиссии в течение 2-х рабочих дней.</w:t>
      </w:r>
    </w:p>
    <w:p w14:paraId="2F020000">
      <w:pPr>
        <w:ind w:firstLine="709"/>
        <w:jc w:val="both"/>
        <w:rPr>
          <w:color w:val="000000"/>
        </w:rPr>
      </w:pPr>
      <w:r>
        <w:rPr>
          <w:color w:val="000000"/>
        </w:rPr>
        <w:t xml:space="preserve">5. Сроки начала и окончания приема заявок устанавливаются Администрацией и размещаются на официальном сайте Администрации в информационно-телекоммуникационной сети Интернет. </w:t>
      </w:r>
      <w:r>
        <w:rPr>
          <w:color w:val="000000"/>
        </w:rPr>
        <w:t>Продолжительность приема заявок не может быть менее 30 календарных дней с даты размещения объявления о приеме заявок)</w:t>
      </w:r>
      <w:r>
        <w:rPr>
          <w:color w:val="000000"/>
        </w:rPr>
        <w:t>.</w:t>
      </w:r>
    </w:p>
    <w:p w14:paraId="30020000">
      <w:pPr>
        <w:ind w:firstLine="709"/>
        <w:jc w:val="both"/>
        <w:rPr>
          <w:color w:val="000000"/>
        </w:rPr>
      </w:pPr>
      <w:r>
        <w:rPr>
          <w:color w:val="000000"/>
        </w:rPr>
        <w:t xml:space="preserve">6. Комиссию возглавляет председатель, а в его отсутствие – заместитель председателя </w:t>
      </w:r>
      <w:r>
        <w:rPr>
          <w:color w:val="000000"/>
        </w:rPr>
        <w:t>к</w:t>
      </w:r>
      <w:r>
        <w:rPr>
          <w:color w:val="000000"/>
        </w:rPr>
        <w:t>омиссии.</w:t>
      </w:r>
    </w:p>
    <w:p w14:paraId="31020000">
      <w:pPr>
        <w:ind w:firstLine="709"/>
        <w:jc w:val="both"/>
        <w:rPr>
          <w:color w:val="000000"/>
        </w:rPr>
      </w:pPr>
      <w:r>
        <w:rPr>
          <w:color w:val="000000"/>
        </w:rPr>
        <w:t xml:space="preserve">7. Председатель </w:t>
      </w:r>
      <w:r>
        <w:rPr>
          <w:color w:val="000000"/>
        </w:rPr>
        <w:t>к</w:t>
      </w:r>
      <w:r>
        <w:rPr>
          <w:color w:val="000000"/>
        </w:rPr>
        <w:t>омиссии:</w:t>
      </w:r>
    </w:p>
    <w:p w14:paraId="32020000">
      <w:pPr>
        <w:ind w:firstLine="709"/>
        <w:jc w:val="both"/>
        <w:rPr>
          <w:color w:val="000000"/>
        </w:rPr>
      </w:pPr>
      <w:r>
        <w:rPr>
          <w:color w:val="000000"/>
        </w:rPr>
        <w:t>-</w:t>
      </w:r>
      <w:r>
        <w:rPr>
          <w:color w:val="000000"/>
        </w:rPr>
        <w:t xml:space="preserve"> организует работу </w:t>
      </w:r>
      <w:r>
        <w:rPr>
          <w:color w:val="000000"/>
        </w:rPr>
        <w:t>к</w:t>
      </w:r>
      <w:r>
        <w:rPr>
          <w:color w:val="000000"/>
        </w:rPr>
        <w:t>омиссии;</w:t>
      </w:r>
    </w:p>
    <w:p w14:paraId="33020000">
      <w:pPr>
        <w:ind w:firstLine="709"/>
        <w:jc w:val="both"/>
        <w:rPr>
          <w:color w:val="000000"/>
        </w:rPr>
      </w:pPr>
      <w:r>
        <w:rPr>
          <w:color w:val="000000"/>
        </w:rPr>
        <w:t>-</w:t>
      </w:r>
      <w:r>
        <w:rPr>
          <w:color w:val="000000"/>
        </w:rPr>
        <w:t xml:space="preserve"> объявляет повестку дня</w:t>
      </w:r>
      <w:r>
        <w:rPr>
          <w:color w:val="000000"/>
        </w:rPr>
        <w:t xml:space="preserve"> и</w:t>
      </w:r>
      <w:r>
        <w:rPr>
          <w:color w:val="000000"/>
        </w:rPr>
        <w:t xml:space="preserve"> ведет заседание </w:t>
      </w:r>
      <w:r>
        <w:rPr>
          <w:color w:val="000000"/>
        </w:rPr>
        <w:t>к</w:t>
      </w:r>
      <w:r>
        <w:rPr>
          <w:color w:val="000000"/>
        </w:rPr>
        <w:t>омиссии;</w:t>
      </w:r>
    </w:p>
    <w:p w14:paraId="34020000">
      <w:pPr>
        <w:ind w:firstLine="709"/>
        <w:jc w:val="both"/>
        <w:rPr>
          <w:color w:val="000000"/>
        </w:rPr>
      </w:pPr>
      <w:r>
        <w:rPr>
          <w:color w:val="000000"/>
        </w:rPr>
        <w:t>-</w:t>
      </w:r>
      <w:r>
        <w:rPr>
          <w:color w:val="000000"/>
        </w:rPr>
        <w:t xml:space="preserve"> координирует работу </w:t>
      </w:r>
      <w:r>
        <w:rPr>
          <w:color w:val="000000"/>
        </w:rPr>
        <w:t>к</w:t>
      </w:r>
      <w:r>
        <w:rPr>
          <w:color w:val="000000"/>
        </w:rPr>
        <w:t>омиссии;</w:t>
      </w:r>
    </w:p>
    <w:p w14:paraId="35020000">
      <w:pPr>
        <w:ind w:firstLine="709"/>
        <w:jc w:val="both"/>
        <w:rPr>
          <w:color w:val="000000"/>
        </w:rPr>
      </w:pPr>
      <w:r>
        <w:rPr>
          <w:color w:val="000000"/>
        </w:rPr>
        <w:t>-</w:t>
      </w:r>
      <w:r>
        <w:rPr>
          <w:color w:val="000000"/>
        </w:rPr>
        <w:t xml:space="preserve"> обеспечивает и контролирует выполнение решений </w:t>
      </w:r>
      <w:r>
        <w:rPr>
          <w:color w:val="000000"/>
        </w:rPr>
        <w:t>к</w:t>
      </w:r>
      <w:r>
        <w:rPr>
          <w:color w:val="000000"/>
        </w:rPr>
        <w:t>омиссии;</w:t>
      </w:r>
    </w:p>
    <w:p w14:paraId="36020000">
      <w:pPr>
        <w:ind w:firstLine="709"/>
        <w:jc w:val="both"/>
        <w:rPr>
          <w:color w:val="000000"/>
        </w:rPr>
      </w:pPr>
      <w:r>
        <w:rPr>
          <w:color w:val="000000"/>
        </w:rPr>
        <w:t xml:space="preserve">- </w:t>
      </w:r>
      <w:r>
        <w:rPr>
          <w:color w:val="000000"/>
        </w:rPr>
        <w:t xml:space="preserve">подписывает протокол заседания </w:t>
      </w:r>
      <w:r>
        <w:rPr>
          <w:color w:val="000000"/>
        </w:rPr>
        <w:t>к</w:t>
      </w:r>
      <w:r>
        <w:rPr>
          <w:color w:val="000000"/>
        </w:rPr>
        <w:t xml:space="preserve">омиссии вместе со всеми членами </w:t>
      </w:r>
      <w:r>
        <w:rPr>
          <w:color w:val="000000"/>
        </w:rPr>
        <w:t>к</w:t>
      </w:r>
      <w:r>
        <w:rPr>
          <w:color w:val="000000"/>
        </w:rPr>
        <w:t>омиссии.</w:t>
      </w:r>
    </w:p>
    <w:p w14:paraId="37020000">
      <w:pPr>
        <w:ind w:firstLine="709"/>
        <w:jc w:val="both"/>
        <w:rPr>
          <w:color w:val="000000"/>
        </w:rPr>
      </w:pPr>
      <w:r>
        <w:rPr>
          <w:color w:val="000000"/>
        </w:rPr>
        <w:t xml:space="preserve">8. Обеспечение проведения заседания </w:t>
      </w:r>
      <w:r>
        <w:rPr>
          <w:color w:val="000000"/>
        </w:rPr>
        <w:t>к</w:t>
      </w:r>
      <w:r>
        <w:rPr>
          <w:color w:val="000000"/>
        </w:rPr>
        <w:t xml:space="preserve">омиссии осуществляет секретарь </w:t>
      </w:r>
      <w:r>
        <w:rPr>
          <w:color w:val="000000"/>
        </w:rPr>
        <w:t>к</w:t>
      </w:r>
      <w:r>
        <w:rPr>
          <w:color w:val="000000"/>
        </w:rPr>
        <w:t xml:space="preserve">омиссии, являющийся членом </w:t>
      </w:r>
      <w:r>
        <w:rPr>
          <w:color w:val="000000"/>
        </w:rPr>
        <w:t>к</w:t>
      </w:r>
      <w:r>
        <w:rPr>
          <w:color w:val="000000"/>
        </w:rPr>
        <w:t>омиссии.</w:t>
      </w:r>
    </w:p>
    <w:p w14:paraId="38020000">
      <w:pPr>
        <w:ind w:firstLine="709"/>
        <w:jc w:val="both"/>
        <w:rPr>
          <w:color w:val="000000"/>
        </w:rPr>
      </w:pPr>
      <w:r>
        <w:rPr>
          <w:color w:val="000000"/>
        </w:rPr>
        <w:t xml:space="preserve">9. Секретарь </w:t>
      </w:r>
      <w:r>
        <w:rPr>
          <w:color w:val="000000"/>
        </w:rPr>
        <w:t>к</w:t>
      </w:r>
      <w:r>
        <w:rPr>
          <w:color w:val="000000"/>
        </w:rPr>
        <w:t>омиссии:</w:t>
      </w:r>
    </w:p>
    <w:p w14:paraId="39020000">
      <w:pPr>
        <w:ind w:firstLine="709"/>
        <w:jc w:val="both"/>
        <w:rPr>
          <w:color w:val="000000"/>
        </w:rPr>
      </w:pPr>
      <w:r>
        <w:rPr>
          <w:color w:val="000000"/>
        </w:rPr>
        <w:t>-</w:t>
      </w:r>
      <w:r>
        <w:rPr>
          <w:color w:val="000000"/>
        </w:rPr>
        <w:t xml:space="preserve"> информирует членов </w:t>
      </w:r>
      <w:r>
        <w:rPr>
          <w:color w:val="000000"/>
        </w:rPr>
        <w:t>к</w:t>
      </w:r>
      <w:r>
        <w:rPr>
          <w:color w:val="000000"/>
        </w:rPr>
        <w:t xml:space="preserve">омиссии о поступивших в Администрацию заявках и оповещает членов </w:t>
      </w:r>
      <w:r>
        <w:rPr>
          <w:color w:val="000000"/>
        </w:rPr>
        <w:t>к</w:t>
      </w:r>
      <w:r>
        <w:rPr>
          <w:color w:val="000000"/>
        </w:rPr>
        <w:t xml:space="preserve">омиссии о предстоящем заседании </w:t>
      </w:r>
      <w:r>
        <w:rPr>
          <w:color w:val="000000"/>
        </w:rPr>
        <w:t>к</w:t>
      </w:r>
      <w:r>
        <w:rPr>
          <w:color w:val="000000"/>
        </w:rPr>
        <w:t>омиссии;</w:t>
      </w:r>
    </w:p>
    <w:p w14:paraId="3A020000">
      <w:pPr>
        <w:ind w:firstLine="709"/>
        <w:jc w:val="both"/>
        <w:rPr>
          <w:color w:val="000000"/>
        </w:rPr>
      </w:pPr>
      <w:r>
        <w:rPr>
          <w:color w:val="000000"/>
        </w:rPr>
        <w:t>-</w:t>
      </w:r>
      <w:r>
        <w:rPr>
          <w:color w:val="000000"/>
        </w:rPr>
        <w:t xml:space="preserve"> осуществляет работу под руководством председателя </w:t>
      </w:r>
      <w:r>
        <w:rPr>
          <w:color w:val="000000"/>
        </w:rPr>
        <w:t>к</w:t>
      </w:r>
      <w:r>
        <w:rPr>
          <w:color w:val="000000"/>
        </w:rPr>
        <w:t>омиссии;</w:t>
      </w:r>
    </w:p>
    <w:p w14:paraId="3B020000">
      <w:pPr>
        <w:ind w:firstLine="709"/>
        <w:jc w:val="both"/>
        <w:rPr>
          <w:color w:val="000000"/>
        </w:rPr>
      </w:pPr>
      <w:r>
        <w:rPr>
          <w:color w:val="000000"/>
        </w:rPr>
        <w:t>-</w:t>
      </w:r>
      <w:r>
        <w:rPr>
          <w:color w:val="000000"/>
        </w:rPr>
        <w:t xml:space="preserve"> подготавливает материалы к заседанию;</w:t>
      </w:r>
    </w:p>
    <w:p w14:paraId="3C020000">
      <w:pPr>
        <w:ind w:firstLine="709"/>
        <w:jc w:val="both"/>
        <w:rPr>
          <w:color w:val="000000"/>
        </w:rPr>
      </w:pPr>
      <w:r>
        <w:rPr>
          <w:color w:val="000000"/>
        </w:rPr>
        <w:t>-</w:t>
      </w:r>
      <w:r>
        <w:rPr>
          <w:color w:val="000000"/>
        </w:rPr>
        <w:t xml:space="preserve"> оформляет протокол заседания </w:t>
      </w:r>
      <w:r>
        <w:rPr>
          <w:color w:val="000000"/>
        </w:rPr>
        <w:t>к</w:t>
      </w:r>
      <w:r>
        <w:rPr>
          <w:color w:val="000000"/>
        </w:rPr>
        <w:t>омиссии;</w:t>
      </w:r>
    </w:p>
    <w:p w14:paraId="3D020000">
      <w:pPr>
        <w:ind w:firstLine="709"/>
        <w:jc w:val="both"/>
      </w:pPr>
      <w:r>
        <w:rPr>
          <w:color w:val="000000"/>
        </w:rPr>
        <w:t>-</w:t>
      </w:r>
      <w:r>
        <w:rPr>
          <w:color w:val="000000"/>
        </w:rPr>
        <w:t xml:space="preserve"> в течение 2-х рабочих дней с момента подписания протокола комиссии, рассылает на исполнение копию протокола заседания </w:t>
      </w:r>
      <w:r>
        <w:rPr>
          <w:color w:val="000000"/>
        </w:rPr>
        <w:t>к</w:t>
      </w:r>
      <w:r>
        <w:rPr>
          <w:color w:val="000000"/>
        </w:rPr>
        <w:t xml:space="preserve">омиссии профильным структурным подразделениям Администрации города Батайска, отраслевым (функциональным) органам </w:t>
      </w:r>
      <w:r>
        <w:t>города Батайска</w:t>
      </w:r>
      <w:r>
        <w:rPr>
          <w:color w:val="000000"/>
        </w:rPr>
        <w:t>;</w:t>
      </w:r>
    </w:p>
    <w:p w14:paraId="3E020000">
      <w:pPr>
        <w:ind w:firstLine="709"/>
        <w:jc w:val="both"/>
        <w:rPr>
          <w:color w:val="000000"/>
        </w:rPr>
      </w:pPr>
      <w:r>
        <w:rPr>
          <w:color w:val="000000"/>
        </w:rPr>
        <w:t>-</w:t>
      </w:r>
      <w:r>
        <w:rPr>
          <w:color w:val="000000"/>
        </w:rPr>
        <w:t xml:space="preserve"> обеспечивает ведение и сохранение документации </w:t>
      </w:r>
      <w:r>
        <w:rPr>
          <w:color w:val="000000"/>
        </w:rPr>
        <w:t>к</w:t>
      </w:r>
      <w:r>
        <w:rPr>
          <w:color w:val="000000"/>
        </w:rPr>
        <w:t>омиссии.</w:t>
      </w:r>
    </w:p>
    <w:p w14:paraId="3F020000">
      <w:pPr>
        <w:ind w:firstLine="709"/>
        <w:jc w:val="both"/>
        <w:rPr>
          <w:color w:val="000000"/>
        </w:rPr>
      </w:pPr>
      <w:r>
        <w:rPr>
          <w:color w:val="000000"/>
        </w:rPr>
        <w:t xml:space="preserve">10. Члены </w:t>
      </w:r>
      <w:r>
        <w:rPr>
          <w:color w:val="000000"/>
        </w:rPr>
        <w:t>к</w:t>
      </w:r>
      <w:r>
        <w:rPr>
          <w:color w:val="000000"/>
        </w:rPr>
        <w:t>омиссии:</w:t>
      </w:r>
    </w:p>
    <w:p w14:paraId="40020000">
      <w:pPr>
        <w:ind w:firstLine="709"/>
        <w:jc w:val="both"/>
        <w:rPr>
          <w:color w:val="000000"/>
        </w:rPr>
      </w:pPr>
      <w:r>
        <w:rPr>
          <w:color w:val="000000"/>
        </w:rPr>
        <w:t>-</w:t>
      </w:r>
      <w:r>
        <w:rPr>
          <w:color w:val="000000"/>
        </w:rPr>
        <w:t xml:space="preserve"> осуществляют рассмотрение и проверку представленных Получателями </w:t>
      </w:r>
      <w:r>
        <w:rPr>
          <w:color w:val="000000"/>
        </w:rPr>
        <w:t>с</w:t>
      </w:r>
      <w:r>
        <w:rPr>
          <w:color w:val="000000"/>
        </w:rPr>
        <w:t xml:space="preserve">убсидии заявок на отбор и </w:t>
      </w:r>
      <w:r>
        <w:rPr>
          <w:color w:val="000000"/>
        </w:rPr>
        <w:t>предоставление</w:t>
      </w:r>
      <w:r>
        <w:rPr>
          <w:color w:val="000000"/>
        </w:rPr>
        <w:t xml:space="preserve"> субсиди</w:t>
      </w:r>
      <w:r>
        <w:rPr>
          <w:color w:val="000000"/>
        </w:rPr>
        <w:t>и</w:t>
      </w:r>
      <w:r>
        <w:rPr>
          <w:color w:val="000000"/>
        </w:rPr>
        <w:t xml:space="preserve"> и прилагаемых к ним документов на предмет их соответствия установленным в объявлении о проведении отбора требованиям;</w:t>
      </w:r>
    </w:p>
    <w:p w14:paraId="41020000">
      <w:pPr>
        <w:ind w:firstLine="709"/>
        <w:jc w:val="both"/>
        <w:rPr>
          <w:color w:val="000000"/>
        </w:rPr>
      </w:pPr>
      <w:r>
        <w:rPr>
          <w:color w:val="000000"/>
        </w:rPr>
        <w:t>-</w:t>
      </w:r>
      <w:r>
        <w:rPr>
          <w:color w:val="000000"/>
        </w:rPr>
        <w:t xml:space="preserve"> проверяют отчетность о достижении результата предоставления </w:t>
      </w:r>
      <w:r>
        <w:rPr>
          <w:color w:val="000000"/>
        </w:rPr>
        <w:t>с</w:t>
      </w:r>
      <w:r>
        <w:rPr>
          <w:color w:val="000000"/>
        </w:rPr>
        <w:t>убсидии;</w:t>
      </w:r>
    </w:p>
    <w:p w14:paraId="42020000">
      <w:pPr>
        <w:ind w:firstLine="709"/>
        <w:jc w:val="both"/>
        <w:rPr>
          <w:color w:val="000000"/>
        </w:rPr>
      </w:pPr>
      <w:r>
        <w:rPr>
          <w:color w:val="000000"/>
        </w:rPr>
        <w:t>-</w:t>
      </w:r>
      <w:r>
        <w:rPr>
          <w:color w:val="000000"/>
        </w:rPr>
        <w:t xml:space="preserve"> выступают на заседании </w:t>
      </w:r>
      <w:r>
        <w:rPr>
          <w:color w:val="000000"/>
        </w:rPr>
        <w:t>к</w:t>
      </w:r>
      <w:r>
        <w:rPr>
          <w:color w:val="000000"/>
        </w:rPr>
        <w:t>омиссии;</w:t>
      </w:r>
    </w:p>
    <w:p w14:paraId="43020000">
      <w:pPr>
        <w:ind w:firstLine="709"/>
        <w:jc w:val="both"/>
        <w:rPr>
          <w:color w:val="000000"/>
        </w:rPr>
      </w:pPr>
      <w:r>
        <w:rPr>
          <w:color w:val="000000"/>
        </w:rPr>
        <w:t>-</w:t>
      </w:r>
      <w:r>
        <w:rPr>
          <w:color w:val="000000"/>
        </w:rPr>
        <w:t xml:space="preserve"> проверяют правильность содержания протокола проведения заседания </w:t>
      </w:r>
      <w:r>
        <w:rPr>
          <w:color w:val="000000"/>
        </w:rPr>
        <w:t>к</w:t>
      </w:r>
      <w:r>
        <w:rPr>
          <w:color w:val="000000"/>
        </w:rPr>
        <w:t>омиссии, в том числе правильность отражения в протоколе своего выступления;</w:t>
      </w:r>
    </w:p>
    <w:p w14:paraId="44020000">
      <w:pPr>
        <w:ind w:firstLine="709"/>
        <w:jc w:val="both"/>
        <w:rPr>
          <w:color w:val="000000"/>
        </w:rPr>
      </w:pPr>
      <w:r>
        <w:rPr>
          <w:color w:val="000000"/>
        </w:rPr>
        <w:t>-</w:t>
      </w:r>
      <w:r>
        <w:rPr>
          <w:color w:val="000000"/>
        </w:rPr>
        <w:t xml:space="preserve"> письменно излагают особое мнение, которое прикладывается к протоколу;</w:t>
      </w:r>
    </w:p>
    <w:p w14:paraId="45020000">
      <w:pPr>
        <w:ind w:firstLine="709"/>
        <w:jc w:val="both"/>
        <w:rPr>
          <w:color w:val="000000"/>
        </w:rPr>
      </w:pPr>
      <w:r>
        <w:rPr>
          <w:color w:val="000000"/>
        </w:rPr>
        <w:t>-</w:t>
      </w:r>
      <w:r>
        <w:rPr>
          <w:color w:val="000000"/>
        </w:rPr>
        <w:t xml:space="preserve"> подписывают протокол заседания </w:t>
      </w:r>
      <w:r>
        <w:rPr>
          <w:color w:val="000000"/>
        </w:rPr>
        <w:t>к</w:t>
      </w:r>
      <w:r>
        <w:rPr>
          <w:color w:val="000000"/>
        </w:rPr>
        <w:t>омиссии.</w:t>
      </w:r>
    </w:p>
    <w:p w14:paraId="46020000">
      <w:pPr>
        <w:ind w:firstLine="709"/>
        <w:jc w:val="both"/>
        <w:rPr>
          <w:color w:val="000000"/>
        </w:rPr>
      </w:pPr>
      <w:r>
        <w:rPr>
          <w:color w:val="000000"/>
        </w:rPr>
        <w:t xml:space="preserve">11. Заседание </w:t>
      </w:r>
      <w:r>
        <w:rPr>
          <w:color w:val="000000"/>
        </w:rPr>
        <w:t>к</w:t>
      </w:r>
      <w:r>
        <w:rPr>
          <w:color w:val="000000"/>
        </w:rPr>
        <w:t xml:space="preserve">омиссии проводится при личном участии каждого из присутствующих членов </w:t>
      </w:r>
      <w:r>
        <w:rPr>
          <w:color w:val="000000"/>
        </w:rPr>
        <w:t>к</w:t>
      </w:r>
      <w:r>
        <w:rPr>
          <w:color w:val="000000"/>
        </w:rPr>
        <w:t>омиссии. Комиссия правомочна осуществлять свои функции, если на заседании присутствует не менее чем пятьдесят процентов от общего числа ее членов.</w:t>
      </w:r>
    </w:p>
    <w:p w14:paraId="47020000">
      <w:pPr>
        <w:ind w:firstLine="709"/>
        <w:jc w:val="both"/>
        <w:rPr>
          <w:color w:val="000000"/>
        </w:rPr>
      </w:pPr>
      <w:r>
        <w:rPr>
          <w:color w:val="000000"/>
        </w:rPr>
        <w:t xml:space="preserve">12. Решения </w:t>
      </w:r>
      <w:r>
        <w:rPr>
          <w:color w:val="000000"/>
        </w:rPr>
        <w:t>к</w:t>
      </w:r>
      <w:r>
        <w:rPr>
          <w:color w:val="000000"/>
        </w:rPr>
        <w:t>омиссии принимаются простым большинством голосов.</w:t>
      </w:r>
    </w:p>
    <w:p w14:paraId="48020000">
      <w:pPr>
        <w:ind w:firstLine="709"/>
        <w:jc w:val="both"/>
        <w:rPr>
          <w:color w:val="000000"/>
        </w:rPr>
      </w:pPr>
    </w:p>
    <w:p w14:paraId="49020000">
      <w:pPr>
        <w:ind w:firstLine="709"/>
        <w:jc w:val="both"/>
        <w:rPr>
          <w:color w:val="000000"/>
        </w:rPr>
      </w:pPr>
    </w:p>
    <w:p w14:paraId="4A020000">
      <w:pPr>
        <w:ind w:firstLine="709"/>
        <w:jc w:val="both"/>
        <w:rPr>
          <w:color w:val="000000"/>
        </w:rPr>
      </w:pPr>
    </w:p>
    <w:p w14:paraId="4B020000">
      <w:pPr>
        <w:ind w:firstLine="709"/>
        <w:jc w:val="both"/>
        <w:rPr>
          <w:color w:val="000000"/>
        </w:rPr>
      </w:pPr>
    </w:p>
    <w:p w14:paraId="4C020000">
      <w:pPr>
        <w:ind w:firstLine="709"/>
        <w:jc w:val="both"/>
        <w:rPr>
          <w:color w:val="000000"/>
        </w:rPr>
      </w:pPr>
    </w:p>
    <w:p w14:paraId="4D020000">
      <w:pPr>
        <w:ind w:firstLine="709"/>
        <w:jc w:val="both"/>
        <w:rPr>
          <w:color w:val="000000"/>
        </w:rPr>
      </w:pPr>
    </w:p>
    <w:p w14:paraId="4E020000">
      <w:pPr>
        <w:ind w:firstLine="709"/>
        <w:jc w:val="both"/>
        <w:rPr>
          <w:color w:val="000000"/>
        </w:rPr>
      </w:pPr>
      <w:r>
        <w:rPr>
          <w:color w:val="000000"/>
        </w:rPr>
        <w:t>13. Члены Комиссии, допустившие нарушение законодательства Российской Федерации о персональных данных, либо составляющих государственную, коммерческую, или иную тайну, установленную законодательством Российской</w:t>
      </w:r>
      <w:r>
        <w:rPr>
          <w:color w:val="000000"/>
        </w:rPr>
        <w:t xml:space="preserve"> Федерации, несут ответственность в соответствии с законодательством Российской Федерации</w:t>
      </w:r>
      <w:r>
        <w:rPr>
          <w:color w:val="000000"/>
        </w:rPr>
        <w:t>.</w:t>
      </w:r>
    </w:p>
    <w:p w14:paraId="4F020000">
      <w:pPr>
        <w:pStyle w:val="Style_2"/>
        <w:widowControl w:val="1"/>
        <w:ind w:firstLine="0" w:right="0"/>
        <w:jc w:val="both"/>
        <w:rPr>
          <w:rFonts w:ascii="Times New Roman" w:hAnsi="Times New Roman"/>
          <w:sz w:val="28"/>
        </w:rPr>
      </w:pPr>
    </w:p>
    <w:p w14:paraId="50020000">
      <w:pPr>
        <w:pStyle w:val="Style_2"/>
        <w:widowControl w:val="1"/>
        <w:ind w:firstLine="0" w:right="0"/>
        <w:jc w:val="both"/>
        <w:rPr>
          <w:rFonts w:ascii="Times New Roman" w:hAnsi="Times New Roman"/>
          <w:sz w:val="28"/>
        </w:rPr>
      </w:pPr>
      <w:r>
        <w:rPr>
          <w:rFonts w:ascii="Times New Roman" w:hAnsi="Times New Roman"/>
          <w:sz w:val="28"/>
        </w:rPr>
        <w:t>Начальник общего отдела</w:t>
      </w:r>
    </w:p>
    <w:p w14:paraId="51020000">
      <w:pPr>
        <w:ind/>
        <w:jc w:val="both"/>
      </w:pPr>
      <w:r>
        <w:t>Администрации города Батайска</w:t>
      </w:r>
      <w:r>
        <w:tab/>
      </w:r>
      <w:r>
        <w:tab/>
      </w:r>
      <w:r>
        <w:tab/>
      </w:r>
      <w:r>
        <w:tab/>
      </w:r>
      <w:r>
        <w:t xml:space="preserve">         В.С. </w:t>
      </w:r>
      <w:r>
        <w:t>Мирошникова</w:t>
      </w:r>
    </w:p>
    <w:p w14:paraId="52020000">
      <w:pPr>
        <w:pStyle w:val="Style_3"/>
        <w:ind w:left="5954"/>
        <w:jc w:val="center"/>
        <w:outlineLvl w:val="1"/>
        <w:rPr>
          <w:rFonts w:ascii="Times New Roman" w:hAnsi="Times New Roman"/>
          <w:sz w:val="28"/>
        </w:rPr>
      </w:pPr>
      <w:r>
        <w:rPr>
          <w:rFonts w:ascii="Times New Roman" w:hAnsi="Times New Roman"/>
          <w:sz w:val="28"/>
        </w:rPr>
        <w:br w:type="page"/>
      </w:r>
      <w:r>
        <w:rPr>
          <w:rFonts w:ascii="Times New Roman" w:hAnsi="Times New Roman"/>
          <w:sz w:val="28"/>
        </w:rPr>
        <w:t>Приложение</w:t>
      </w:r>
      <w:r>
        <w:rPr>
          <w:rFonts w:ascii="Times New Roman" w:hAnsi="Times New Roman"/>
          <w:sz w:val="28"/>
        </w:rPr>
        <w:t xml:space="preserve"> № 3</w:t>
      </w:r>
    </w:p>
    <w:p w14:paraId="53020000">
      <w:pPr>
        <w:pStyle w:val="Style_2"/>
        <w:widowControl w:val="1"/>
        <w:ind w:firstLine="0" w:left="5954" w:right="0"/>
        <w:jc w:val="center"/>
        <w:rPr>
          <w:rFonts w:ascii="Times New Roman" w:hAnsi="Times New Roman"/>
          <w:sz w:val="28"/>
        </w:rPr>
      </w:pPr>
      <w:r>
        <w:rPr>
          <w:rFonts w:ascii="Times New Roman" w:hAnsi="Times New Roman"/>
          <w:sz w:val="28"/>
        </w:rPr>
        <w:t>к постановлению</w:t>
      </w:r>
    </w:p>
    <w:p w14:paraId="54020000">
      <w:pPr>
        <w:pStyle w:val="Style_2"/>
        <w:widowControl w:val="1"/>
        <w:ind w:firstLine="0" w:left="5954" w:right="0"/>
        <w:jc w:val="center"/>
        <w:rPr>
          <w:rFonts w:ascii="Times New Roman" w:hAnsi="Times New Roman"/>
          <w:sz w:val="28"/>
        </w:rPr>
      </w:pPr>
      <w:r>
        <w:rPr>
          <w:rFonts w:ascii="Times New Roman" w:hAnsi="Times New Roman"/>
          <w:sz w:val="28"/>
        </w:rPr>
        <w:t>Администрации</w:t>
      </w:r>
    </w:p>
    <w:p w14:paraId="55020000">
      <w:pPr>
        <w:pStyle w:val="Style_2"/>
        <w:widowControl w:val="1"/>
        <w:ind w:firstLine="0" w:left="5954" w:right="0"/>
        <w:jc w:val="center"/>
        <w:rPr>
          <w:rFonts w:ascii="Times New Roman" w:hAnsi="Times New Roman"/>
          <w:sz w:val="28"/>
        </w:rPr>
      </w:pPr>
      <w:r>
        <w:rPr>
          <w:rFonts w:ascii="Times New Roman" w:hAnsi="Times New Roman"/>
          <w:sz w:val="28"/>
        </w:rPr>
        <w:t>города Батайска</w:t>
      </w:r>
    </w:p>
    <w:p w14:paraId="56020000">
      <w:pPr>
        <w:pStyle w:val="Style_2"/>
        <w:widowControl w:val="1"/>
        <w:ind w:firstLine="0" w:left="5954" w:right="0"/>
        <w:jc w:val="center"/>
        <w:rPr>
          <w:rFonts w:ascii="Times New Roman" w:hAnsi="Times New Roman"/>
          <w:sz w:val="28"/>
        </w:rPr>
      </w:pPr>
      <w:r>
        <w:rPr>
          <w:rFonts w:ascii="Times New Roman" w:hAnsi="Times New Roman"/>
          <w:sz w:val="28"/>
        </w:rPr>
        <w:t>от ___________ № _____</w:t>
      </w:r>
    </w:p>
    <w:p w14:paraId="57020000">
      <w:pPr>
        <w:ind w:firstLine="720"/>
        <w:jc w:val="center"/>
      </w:pPr>
    </w:p>
    <w:p w14:paraId="58020000">
      <w:pPr>
        <w:ind/>
        <w:jc w:val="center"/>
      </w:pPr>
      <w:r>
        <w:t xml:space="preserve">Состав </w:t>
      </w:r>
      <w:r>
        <w:t>к</w:t>
      </w:r>
      <w:r>
        <w:t>омиссии</w:t>
      </w:r>
      <w:r>
        <w:t xml:space="preserve"> </w:t>
      </w:r>
      <w:r>
        <w:t xml:space="preserve">для отбора получателей </w:t>
      </w:r>
      <w:r>
        <w:rPr>
          <w:b w:val="0"/>
        </w:rPr>
        <w:t>субсиди</w:t>
      </w:r>
      <w:r>
        <w:rPr>
          <w:b w:val="0"/>
        </w:rPr>
        <w:t>и</w:t>
      </w:r>
      <w:r>
        <w:rPr>
          <w:b w:val="0"/>
        </w:rPr>
        <w:t xml:space="preserve"> юридическим лицам (кроме некоммерческих организаций), индивидуальным предпринимателям  – производителям товаров, работ, услуг и субсидии юридическим лицам, индивидуальным предпринимателям,</w:t>
      </w:r>
      <w:r>
        <w:rPr>
          <w:b w:val="0"/>
        </w:rPr>
        <w:t xml:space="preserve"> </w:t>
      </w:r>
      <w:r>
        <w:rPr>
          <w:b w:val="0"/>
        </w:rPr>
        <w:t>осуществляющим регулярные перевозки пассажиров и багажа автомобильным транспортом</w:t>
      </w:r>
      <w:r>
        <w:rPr>
          <w:b w:val="0"/>
        </w:rPr>
        <w:t xml:space="preserve"> по муниципальным маршрутам города Батайска на компенсацию </w:t>
      </w:r>
      <w:r>
        <w:rPr>
          <w:b w:val="0"/>
        </w:rPr>
        <w:t>выпадающих доходов из-за разницы между тарифом на перевозку пассажиров и багажа и экономически обоснованным тарифом</w:t>
      </w:r>
    </w:p>
    <w:p w14:paraId="59020000">
      <w:pPr>
        <w:ind/>
        <w:jc w:val="center"/>
        <w:rPr>
          <w:b w:val="0"/>
        </w:rPr>
      </w:pPr>
    </w:p>
    <w:tbl>
      <w:tblPr>
        <w:tblStyle w:val="Style_4"/>
        <w:tblW w:type="auto" w:w="0"/>
        <w:tblLayout w:type="fixed"/>
      </w:tblPr>
      <w:tblGrid>
        <w:gridCol w:w="3510"/>
        <w:gridCol w:w="283"/>
        <w:gridCol w:w="5529"/>
        <w:gridCol w:w="142"/>
        <w:gridCol w:w="142"/>
      </w:tblGrid>
      <w:tr>
        <w:trPr>
          <w:trHeight w:hRule="atLeast" w:val="1112"/>
        </w:trPr>
        <w:tc>
          <w:tcPr>
            <w:tcW w:type="dxa" w:w="3510"/>
            <w:shd w:fill="auto" w:val="clear"/>
          </w:tcPr>
          <w:p w14:paraId="5A020000">
            <w:pPr>
              <w:ind/>
              <w:jc w:val="both"/>
            </w:pPr>
            <w:r>
              <w:t>Деркач</w:t>
            </w:r>
          </w:p>
          <w:p w14:paraId="5B020000">
            <w:pPr>
              <w:ind/>
              <w:jc w:val="both"/>
            </w:pPr>
            <w:r>
              <w:t>Карина Артуровна</w:t>
            </w:r>
          </w:p>
        </w:tc>
        <w:tc>
          <w:tcPr>
            <w:tcW w:type="dxa" w:w="283"/>
          </w:tcPr>
          <w:p w14:paraId="5C020000">
            <w:pPr>
              <w:ind/>
              <w:jc w:val="both"/>
            </w:pPr>
            <w:r>
              <w:t>‒</w:t>
            </w:r>
          </w:p>
        </w:tc>
        <w:tc>
          <w:tcPr>
            <w:tcW w:type="dxa" w:w="5813"/>
            <w:gridSpan w:val="3"/>
            <w:shd w:fill="auto" w:val="clear"/>
          </w:tcPr>
          <w:p w14:paraId="5D020000">
            <w:pPr>
              <w:ind/>
              <w:jc w:val="both"/>
            </w:pPr>
            <w:r>
              <w:t>заместитель главы Администрации города Батайска по экономике, председатель комиссии</w:t>
            </w:r>
          </w:p>
        </w:tc>
      </w:tr>
      <w:tr>
        <w:trPr>
          <w:trHeight w:hRule="atLeast" w:val="1238"/>
        </w:trPr>
        <w:tc>
          <w:tcPr>
            <w:tcW w:type="dxa" w:w="3510"/>
            <w:shd w:fill="auto" w:val="clear"/>
          </w:tcPr>
          <w:p w14:paraId="5E020000">
            <w:pPr>
              <w:ind/>
              <w:jc w:val="both"/>
            </w:pPr>
            <w:r>
              <w:t>Гранкина</w:t>
            </w:r>
          </w:p>
          <w:p w14:paraId="5F020000">
            <w:pPr>
              <w:ind/>
              <w:jc w:val="both"/>
            </w:pPr>
            <w:r>
              <w:t>Лидия Владимировна</w:t>
            </w:r>
          </w:p>
          <w:p w14:paraId="60020000">
            <w:pPr>
              <w:ind/>
              <w:jc w:val="both"/>
            </w:pPr>
          </w:p>
        </w:tc>
        <w:tc>
          <w:tcPr>
            <w:tcW w:type="dxa" w:w="283"/>
          </w:tcPr>
          <w:p w14:paraId="61020000">
            <w:pPr>
              <w:ind/>
              <w:jc w:val="both"/>
            </w:pPr>
            <w:r>
              <w:t>‒</w:t>
            </w:r>
          </w:p>
        </w:tc>
        <w:tc>
          <w:tcPr>
            <w:tcW w:type="dxa" w:w="5813"/>
            <w:gridSpan w:val="3"/>
            <w:shd w:fill="auto" w:val="clear"/>
          </w:tcPr>
          <w:p w14:paraId="62020000">
            <w:pPr>
              <w:ind/>
              <w:jc w:val="both"/>
            </w:pPr>
            <w:r>
              <w:t>начальник отдела бухгалтерского учета и отчетности Администрации города Батайска</w:t>
            </w:r>
            <w:r>
              <w:t xml:space="preserve">, заместитель </w:t>
            </w:r>
            <w:r>
              <w:t>председател</w:t>
            </w:r>
            <w:r>
              <w:t>я</w:t>
            </w:r>
            <w:r>
              <w:t xml:space="preserve"> комиссии</w:t>
            </w:r>
          </w:p>
        </w:tc>
      </w:tr>
      <w:tr>
        <w:tc>
          <w:tcPr>
            <w:tcW w:type="dxa" w:w="3510"/>
            <w:shd w:fill="auto" w:val="clear"/>
            <w:tcMar>
              <w:top w:type="dxa" w:w="0"/>
              <w:left w:type="dxa" w:w="108"/>
              <w:bottom w:type="dxa" w:w="0"/>
              <w:right w:type="dxa" w:w="108"/>
            </w:tcMar>
          </w:tcPr>
          <w:p w14:paraId="63020000">
            <w:pPr>
              <w:ind/>
              <w:jc w:val="both"/>
            </w:pPr>
            <w:r>
              <w:t>Шаркова</w:t>
            </w:r>
          </w:p>
          <w:p w14:paraId="64020000">
            <w:pPr>
              <w:ind/>
              <w:jc w:val="both"/>
            </w:pPr>
            <w:r>
              <w:t>Анна Владимировна</w:t>
            </w:r>
          </w:p>
        </w:tc>
        <w:tc>
          <w:tcPr>
            <w:tcW w:type="dxa" w:w="283"/>
            <w:tcMar>
              <w:top w:type="dxa" w:w="0"/>
              <w:left w:type="dxa" w:w="108"/>
              <w:bottom w:type="dxa" w:w="0"/>
              <w:right w:type="dxa" w:w="108"/>
            </w:tcMar>
          </w:tcPr>
          <w:p w14:paraId="65020000">
            <w:pPr>
              <w:ind/>
              <w:jc w:val="both"/>
            </w:pPr>
            <w:r>
              <w:t>‒</w:t>
            </w:r>
          </w:p>
        </w:tc>
        <w:tc>
          <w:tcPr>
            <w:tcW w:type="dxa" w:w="5671"/>
            <w:gridSpan w:val="2"/>
            <w:shd w:fill="auto" w:val="clear"/>
            <w:tcMar>
              <w:top w:type="dxa" w:w="0"/>
              <w:left w:type="dxa" w:w="108"/>
              <w:bottom w:type="dxa" w:w="0"/>
              <w:right w:type="dxa" w:w="108"/>
            </w:tcMar>
          </w:tcPr>
          <w:p w14:paraId="66020000">
            <w:pPr>
              <w:ind/>
              <w:jc w:val="both"/>
            </w:pPr>
            <w:r>
              <w:t xml:space="preserve">начальник отдела </w:t>
            </w:r>
            <w:r>
              <w:t>экономики, инвестиционной политики и стратегического развития Администрации города Батайска – секретарь комиссии</w:t>
            </w:r>
          </w:p>
        </w:tc>
        <w:tc>
          <w:tcPr>
            <w:tcW w:type="dxa" w:w="142"/>
            <w:tcMar>
              <w:top w:type="dxa" w:w="0"/>
              <w:left w:type="dxa" w:w="108"/>
              <w:bottom w:type="dxa" w:w="0"/>
              <w:right w:type="dxa" w:w="108"/>
            </w:tcMar>
          </w:tcPr>
          <w:p/>
        </w:tc>
      </w:tr>
      <w:tr>
        <w:trPr>
          <w:trHeight w:hRule="atLeast" w:val="300"/>
        </w:trPr>
        <w:tc>
          <w:tcPr>
            <w:tcW w:type="dxa" w:w="3510"/>
            <w:shd w:fill="auto" w:val="clear"/>
          </w:tcPr>
          <w:p w14:paraId="67020000">
            <w:pPr>
              <w:ind/>
              <w:jc w:val="both"/>
            </w:pPr>
          </w:p>
        </w:tc>
        <w:tc>
          <w:tcPr>
            <w:tcW w:type="dxa" w:w="283"/>
          </w:tcPr>
          <w:p w14:paraId="68020000">
            <w:pPr>
              <w:ind/>
              <w:jc w:val="both"/>
            </w:pPr>
          </w:p>
        </w:tc>
        <w:tc>
          <w:tcPr>
            <w:tcW w:type="dxa" w:w="5529"/>
            <w:shd w:fill="auto" w:val="clear"/>
          </w:tcPr>
          <w:p w14:paraId="69020000">
            <w:pPr>
              <w:ind/>
              <w:jc w:val="both"/>
            </w:pPr>
            <w:bookmarkStart w:id="4" w:name="_GoBack"/>
            <w:bookmarkEnd w:id="4"/>
          </w:p>
        </w:tc>
        <w:tc>
          <w:tcPr>
            <w:tcW w:type="dxa" w:w="142"/>
          </w:tcPr>
          <w:p/>
        </w:tc>
        <w:tc>
          <w:tcPr>
            <w:tcW w:type="dxa" w:w="142"/>
          </w:tcPr>
          <w:p/>
        </w:tc>
      </w:tr>
      <w:tr>
        <w:trPr>
          <w:trHeight w:hRule="atLeast" w:val="519"/>
        </w:trPr>
        <w:tc>
          <w:tcPr>
            <w:tcW w:type="dxa" w:w="9606"/>
            <w:gridSpan w:val="5"/>
            <w:vAlign w:val="center"/>
          </w:tcPr>
          <w:p w14:paraId="6A020000">
            <w:pPr>
              <w:ind/>
              <w:jc w:val="center"/>
            </w:pPr>
            <w:r>
              <w:t>Члены комиссии:</w:t>
            </w:r>
          </w:p>
        </w:tc>
      </w:tr>
      <w:tr>
        <w:trPr>
          <w:trHeight w:hRule="atLeast" w:val="1303"/>
        </w:trPr>
        <w:tc>
          <w:tcPr>
            <w:tcW w:type="dxa" w:w="3510"/>
            <w:shd w:fill="auto" w:val="clear"/>
          </w:tcPr>
          <w:p w14:paraId="6B020000">
            <w:pPr>
              <w:ind/>
              <w:jc w:val="both"/>
            </w:pPr>
            <w:r>
              <w:t>Киселева</w:t>
            </w:r>
          </w:p>
          <w:p w14:paraId="6C020000">
            <w:pPr>
              <w:ind/>
              <w:jc w:val="both"/>
            </w:pPr>
            <w:r>
              <w:t>Елена Юрьевна</w:t>
            </w:r>
          </w:p>
        </w:tc>
        <w:tc>
          <w:tcPr>
            <w:tcW w:type="dxa" w:w="283"/>
          </w:tcPr>
          <w:p w14:paraId="6D020000">
            <w:pPr>
              <w:ind/>
              <w:jc w:val="both"/>
            </w:pPr>
            <w:r>
              <w:t>‒</w:t>
            </w:r>
          </w:p>
        </w:tc>
        <w:tc>
          <w:tcPr>
            <w:tcW w:type="dxa" w:w="5671"/>
            <w:gridSpan w:val="2"/>
            <w:shd w:fill="auto" w:val="clear"/>
          </w:tcPr>
          <w:p w14:paraId="6E020000">
            <w:pPr>
              <w:ind/>
              <w:jc w:val="both"/>
            </w:pPr>
            <w:r>
              <w:t xml:space="preserve">главный специалист </w:t>
            </w:r>
            <w:r>
              <w:t xml:space="preserve">отдела финансирования расходов местного бюджета </w:t>
            </w:r>
            <w:r>
              <w:t>Финансового управления</w:t>
            </w:r>
            <w:r>
              <w:t xml:space="preserve"> города Батайска</w:t>
            </w:r>
          </w:p>
        </w:tc>
        <w:tc>
          <w:tcPr>
            <w:tcW w:type="dxa" w:w="142"/>
          </w:tcPr>
          <w:p w14:paraId="6F020000">
            <w:pPr>
              <w:rPr>
                <w:rFonts w:ascii="Times New Roman" w:hAnsi="Times New Roman"/>
              </w:rPr>
            </w:pPr>
          </w:p>
        </w:tc>
      </w:tr>
      <w:tr>
        <w:trPr>
          <w:trHeight w:hRule="atLeast" w:val="1303"/>
        </w:trPr>
        <w:tc>
          <w:tcPr>
            <w:tcW w:type="dxa" w:w="3510"/>
            <w:shd w:fill="auto" w:val="clear"/>
            <w:tcMar>
              <w:top w:type="dxa" w:w="0"/>
              <w:left w:type="dxa" w:w="108"/>
              <w:bottom w:type="dxa" w:w="0"/>
              <w:right w:type="dxa" w:w="108"/>
            </w:tcMar>
          </w:tcPr>
          <w:p w14:paraId="70020000">
            <w:pPr>
              <w:ind/>
              <w:jc w:val="both"/>
            </w:pPr>
            <w:r>
              <w:t>Пивоваров</w:t>
            </w:r>
          </w:p>
          <w:p w14:paraId="71020000">
            <w:pPr>
              <w:ind/>
              <w:jc w:val="both"/>
            </w:pPr>
            <w:r>
              <w:t>Дмитрий Викторович</w:t>
            </w:r>
          </w:p>
        </w:tc>
        <w:tc>
          <w:tcPr>
            <w:tcW w:type="dxa" w:w="283"/>
            <w:tcMar>
              <w:top w:type="dxa" w:w="0"/>
              <w:left w:type="dxa" w:w="108"/>
              <w:bottom w:type="dxa" w:w="0"/>
              <w:right w:type="dxa" w:w="108"/>
            </w:tcMar>
          </w:tcPr>
          <w:p w14:paraId="72020000">
            <w:pPr>
              <w:ind/>
              <w:jc w:val="both"/>
            </w:pPr>
            <w:r>
              <w:t>‒</w:t>
            </w:r>
          </w:p>
        </w:tc>
        <w:tc>
          <w:tcPr>
            <w:tcW w:type="dxa" w:w="5671"/>
            <w:gridSpan w:val="2"/>
            <w:shd w:fill="auto" w:val="clear"/>
            <w:tcMar>
              <w:top w:type="dxa" w:w="0"/>
              <w:left w:type="dxa" w:w="108"/>
              <w:bottom w:type="dxa" w:w="0"/>
              <w:right w:type="dxa" w:w="108"/>
            </w:tcMar>
          </w:tcPr>
          <w:p w14:paraId="73020000">
            <w:pPr>
              <w:ind/>
              <w:jc w:val="both"/>
            </w:pPr>
            <w:r>
              <w:t xml:space="preserve">главный специалист отдела </w:t>
            </w:r>
            <w:r>
              <w:t>экономики, инвестиционной политики и стратегического развития Администрации города Батайска</w:t>
            </w:r>
          </w:p>
        </w:tc>
        <w:tc>
          <w:tcPr>
            <w:tcW w:type="dxa" w:w="142"/>
            <w:tcMar>
              <w:top w:type="dxa" w:w="0"/>
              <w:left w:type="dxa" w:w="108"/>
              <w:bottom w:type="dxa" w:w="0"/>
              <w:right w:type="dxa" w:w="108"/>
            </w:tcMar>
          </w:tcPr>
          <w:p/>
        </w:tc>
      </w:tr>
      <w:tr>
        <w:trPr>
          <w:trHeight w:hRule="atLeast" w:val="974"/>
        </w:trPr>
        <w:tc>
          <w:tcPr>
            <w:tcW w:type="dxa" w:w="3510"/>
            <w:shd w:fill="auto" w:val="clear"/>
            <w:tcMar>
              <w:top w:type="dxa" w:w="0"/>
              <w:left w:type="dxa" w:w="108"/>
              <w:bottom w:type="dxa" w:w="0"/>
              <w:right w:type="dxa" w:w="108"/>
            </w:tcMar>
          </w:tcPr>
          <w:p w14:paraId="74020000">
            <w:r>
              <w:t>Филатова</w:t>
            </w:r>
          </w:p>
          <w:p w14:paraId="75020000">
            <w:r>
              <w:t>Светлана Михайловна</w:t>
            </w:r>
          </w:p>
        </w:tc>
        <w:tc>
          <w:tcPr>
            <w:tcW w:type="dxa" w:w="283"/>
            <w:tcMar>
              <w:top w:type="dxa" w:w="0"/>
              <w:left w:type="dxa" w:w="108"/>
              <w:bottom w:type="dxa" w:w="0"/>
              <w:right w:type="dxa" w:w="108"/>
            </w:tcMar>
          </w:tcPr>
          <w:p w14:paraId="76020000">
            <w:pPr>
              <w:ind/>
              <w:jc w:val="both"/>
            </w:pPr>
            <w:r>
              <w:t>‒</w:t>
            </w:r>
          </w:p>
        </w:tc>
        <w:tc>
          <w:tcPr>
            <w:tcW w:type="dxa" w:w="5671"/>
            <w:gridSpan w:val="2"/>
            <w:shd w:fill="auto" w:val="clear"/>
            <w:tcMar>
              <w:top w:type="dxa" w:w="0"/>
              <w:left w:type="dxa" w:w="108"/>
              <w:bottom w:type="dxa" w:w="0"/>
              <w:right w:type="dxa" w:w="108"/>
            </w:tcMar>
          </w:tcPr>
          <w:p w14:paraId="77020000">
            <w:pPr>
              <w:ind/>
              <w:jc w:val="both"/>
            </w:pPr>
            <w:r>
              <w:t>начальник юридического отдела Администрации города Батайска</w:t>
            </w:r>
          </w:p>
          <w:p w14:paraId="78020000">
            <w:pPr>
              <w:ind/>
              <w:jc w:val="both"/>
            </w:pPr>
          </w:p>
          <w:p w14:paraId="79020000">
            <w:pPr>
              <w:ind/>
              <w:jc w:val="both"/>
            </w:pPr>
          </w:p>
          <w:p w14:paraId="7A020000">
            <w:pPr>
              <w:ind/>
              <w:jc w:val="both"/>
            </w:pPr>
          </w:p>
        </w:tc>
        <w:tc>
          <w:tcPr>
            <w:tcW w:type="dxa" w:w="142"/>
            <w:tcMar>
              <w:top w:type="dxa" w:w="0"/>
              <w:left w:type="dxa" w:w="108"/>
              <w:bottom w:type="dxa" w:w="0"/>
              <w:right w:type="dxa" w:w="108"/>
            </w:tcMar>
          </w:tcPr>
          <w:p/>
        </w:tc>
      </w:tr>
      <w:tr>
        <w:trPr>
          <w:trHeight w:hRule="atLeast" w:val="1100"/>
        </w:trPr>
        <w:tc>
          <w:tcPr>
            <w:tcW w:type="dxa" w:w="3510"/>
            <w:shd w:fill="auto" w:val="clear"/>
          </w:tcPr>
          <w:p w14:paraId="7B020000">
            <w:pPr>
              <w:ind/>
              <w:jc w:val="both"/>
            </w:pPr>
            <w:r>
              <w:t>Шевцов</w:t>
            </w:r>
          </w:p>
          <w:p w14:paraId="7C020000">
            <w:pPr>
              <w:ind/>
              <w:jc w:val="both"/>
            </w:pPr>
            <w:r>
              <w:t xml:space="preserve">Дмитрий Александрович </w:t>
            </w:r>
          </w:p>
        </w:tc>
        <w:tc>
          <w:tcPr>
            <w:tcW w:type="dxa" w:w="283"/>
          </w:tcPr>
          <w:p w14:paraId="7D020000">
            <w:pPr>
              <w:ind/>
              <w:jc w:val="both"/>
            </w:pPr>
            <w:r>
              <w:t>‒</w:t>
            </w:r>
          </w:p>
        </w:tc>
        <w:tc>
          <w:tcPr>
            <w:tcW w:type="dxa" w:w="5671"/>
            <w:gridSpan w:val="2"/>
            <w:shd w:fill="auto" w:val="clear"/>
          </w:tcPr>
          <w:p w14:paraId="7E020000">
            <w:pPr>
              <w:ind/>
              <w:jc w:val="both"/>
            </w:pPr>
            <w:r>
              <w:t>заместител</w:t>
            </w:r>
            <w:r>
              <w:t>ь</w:t>
            </w:r>
            <w:r>
              <w:t xml:space="preserve"> главы Администрации города Батайска по</w:t>
            </w:r>
            <w:r>
              <w:t xml:space="preserve"> жилищно-коммунально</w:t>
            </w:r>
            <w:r>
              <w:t>му</w:t>
            </w:r>
            <w:r>
              <w:t xml:space="preserve"> хозяйств</w:t>
            </w:r>
            <w:r>
              <w:t>у</w:t>
            </w:r>
          </w:p>
        </w:tc>
        <w:tc>
          <w:tcPr>
            <w:tcW w:type="dxa" w:w="142"/>
          </w:tcPr>
          <w:p/>
        </w:tc>
      </w:tr>
    </w:tbl>
    <w:p w14:paraId="7F020000">
      <w:pPr>
        <w:pStyle w:val="Style_7"/>
        <w:ind/>
        <w:jc w:val="both"/>
        <w:rPr>
          <w:rFonts w:ascii="Times New Roman" w:hAnsi="Times New Roman"/>
          <w:sz w:val="28"/>
        </w:rPr>
      </w:pPr>
    </w:p>
    <w:p w14:paraId="80020000">
      <w:pPr>
        <w:pStyle w:val="Style_7"/>
        <w:ind/>
        <w:jc w:val="both"/>
        <w:rPr>
          <w:rFonts w:ascii="Times New Roman" w:hAnsi="Times New Roman"/>
          <w:sz w:val="28"/>
        </w:rPr>
      </w:pPr>
    </w:p>
    <w:p w14:paraId="81020000">
      <w:pPr>
        <w:pStyle w:val="Style_2"/>
        <w:widowControl w:val="1"/>
        <w:ind w:firstLine="0" w:right="0"/>
        <w:jc w:val="both"/>
        <w:rPr>
          <w:rFonts w:ascii="Times New Roman" w:hAnsi="Times New Roman"/>
          <w:sz w:val="28"/>
        </w:rPr>
      </w:pPr>
      <w:r>
        <w:rPr>
          <w:rFonts w:ascii="Times New Roman" w:hAnsi="Times New Roman"/>
          <w:sz w:val="28"/>
        </w:rPr>
        <w:t>Начальник общего отдела</w:t>
      </w:r>
    </w:p>
    <w:p w14:paraId="82020000">
      <w:pPr>
        <w:ind/>
        <w:jc w:val="both"/>
      </w:pPr>
      <w:r>
        <w:t>Администрации города Батайска</w:t>
      </w:r>
      <w:r>
        <w:tab/>
      </w:r>
      <w:r>
        <w:tab/>
      </w:r>
      <w:r>
        <w:tab/>
      </w:r>
      <w:r>
        <w:tab/>
      </w:r>
      <w:r>
        <w:t xml:space="preserve">         В.С. </w:t>
      </w:r>
      <w:r>
        <w:t>Мирошникова</w:t>
      </w:r>
    </w:p>
    <w:sectPr>
      <w:headerReference r:id="rId4" w:type="default"/>
      <w:pgSz w:h="16838" w:orient="portrait" w:w="11906"/>
      <w:pgMar w:bottom="1134" w:footer="709" w:gutter="0" w:header="709" w:left="1701" w:right="851"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1000000">
    <w:pPr>
      <w:pStyle w:val="Style_1"/>
      <w:ind/>
      <w:jc w:val="center"/>
      <w:rPr>
        <w:sz w:val="20"/>
      </w:rPr>
    </w:pPr>
    <w:r>
      <w:rPr>
        <w:sz w:val="20"/>
      </w:rPr>
      <w:fldChar w:fldCharType="begin"/>
    </w:r>
    <w:r>
      <w:rPr>
        <w:sz w:val="20"/>
      </w:rPr>
      <w:instrText xml:space="preserve">PAGE </w:instrText>
    </w:r>
    <w:r>
      <w:rPr>
        <w:sz w:val="20"/>
      </w:rPr>
      <w:fldChar w:fldCharType="separate"/>
    </w:r>
    <w:r>
      <w:rPr>
        <w:sz w:val="20"/>
      </w:rPr>
      <w:t xml:space="preserve"> </w:t>
    </w:r>
    <w:r>
      <w:rPr>
        <w:sz w:val="20"/>
      </w:rPr>
      <w:fldChar w:fldCharType="end"/>
    </w:r>
  </w:p>
  <w:p w14:paraId="02000000">
    <w:pPr>
      <w:pStyle w:val="Style_1"/>
    </w:pPr>
  </w:p>
</w:hdr>
</file>

<file path=word/header2.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3000000">
    <w:pPr>
      <w:pStyle w:val="Style_1"/>
      <w:ind/>
      <w:jc w:val="center"/>
      <w:rPr>
        <w:sz w:val="20"/>
      </w:rPr>
    </w:pPr>
    <w:r>
      <w:rPr>
        <w:sz w:val="20"/>
      </w:rPr>
      <w:fldChar w:fldCharType="begin"/>
    </w:r>
    <w:r>
      <w:rPr>
        <w:sz w:val="20"/>
      </w:rPr>
      <w:instrText xml:space="preserve">PAGE </w:instrText>
    </w:r>
    <w:r>
      <w:rPr>
        <w:sz w:val="20"/>
      </w:rPr>
      <w:fldChar w:fldCharType="separate"/>
    </w:r>
    <w:r>
      <w:rPr>
        <w:sz w:val="20"/>
      </w:rPr>
      <w:t xml:space="preserve"> </w:t>
    </w:r>
    <w:r>
      <w:rPr>
        <w:sz w:val="20"/>
      </w:rPr>
      <w:fldChar w:fldCharType="end"/>
    </w:r>
  </w:p>
  <w:p w14:paraId="04000000">
    <w:pPr>
      <w:pStyle w:val="Style_1"/>
    </w:pPr>
  </w:p>
</w:hdr>
</file>

<file path=word/header3.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5000000">
    <w:pPr>
      <w:pStyle w:val="Style_1"/>
      <w:ind/>
      <w:jc w:val="center"/>
      <w:rPr>
        <w:sz w:val="20"/>
      </w:rPr>
    </w:pPr>
    <w:r>
      <w:rPr>
        <w:sz w:val="20"/>
      </w:rPr>
      <w:fldChar w:fldCharType="begin"/>
    </w:r>
    <w:r>
      <w:rPr>
        <w:sz w:val="20"/>
      </w:rPr>
      <w:instrText xml:space="preserve">PAGE </w:instrText>
    </w:r>
    <w:r>
      <w:rPr>
        <w:sz w:val="20"/>
      </w:rPr>
      <w:fldChar w:fldCharType="separate"/>
    </w:r>
    <w:r>
      <w:rPr>
        <w:sz w:val="20"/>
      </w:rPr>
      <w:t xml:space="preserve"> </w:t>
    </w:r>
    <w:r>
      <w:rPr>
        <w:sz w:val="20"/>
      </w:rPr>
      <w:fldChar w:fldCharType="end"/>
    </w:r>
  </w:p>
  <w:p w14:paraId="06000000">
    <w:pPr>
      <w:pStyle w:val="Style_1"/>
    </w:pPr>
  </w:p>
</w:hdr>
</file>

<file path=word/header4.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7000000">
    <w:pPr>
      <w:pStyle w:val="Style_1"/>
      <w:ind/>
      <w:jc w:val="center"/>
      <w:rPr>
        <w:sz w:val="20"/>
      </w:rPr>
    </w:pPr>
    <w:r>
      <w:rPr>
        <w:sz w:val="20"/>
      </w:rPr>
      <w:fldChar w:fldCharType="begin"/>
    </w:r>
    <w:r>
      <w:rPr>
        <w:sz w:val="20"/>
      </w:rPr>
      <w:instrText xml:space="preserve">PAGE </w:instrText>
    </w:r>
    <w:r>
      <w:rPr>
        <w:sz w:val="20"/>
      </w:rPr>
      <w:fldChar w:fldCharType="separate"/>
    </w:r>
    <w:r>
      <w:rPr>
        <w:sz w:val="20"/>
      </w:rPr>
      <w:t xml:space="preserve"> </w:t>
    </w:r>
    <w:r>
      <w:rPr>
        <w:sz w:val="20"/>
      </w:rPr>
      <w:fldChar w:fldCharType="end"/>
    </w:r>
  </w:p>
  <w:p w14:paraId="08000000">
    <w:pPr>
      <w:pStyle w:val="Style_1"/>
    </w:pPr>
  </w:p>
</w:hdr>
</file>

<file path=word/header5.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9000000">
    <w:pPr>
      <w:pStyle w:val="Style_1"/>
      <w:ind/>
      <w:jc w:val="center"/>
      <w:rPr>
        <w:sz w:val="20"/>
      </w:rPr>
    </w:pPr>
    <w:r>
      <w:rPr>
        <w:sz w:val="20"/>
      </w:rPr>
      <w:fldChar w:fldCharType="begin"/>
    </w:r>
    <w:r>
      <w:rPr>
        <w:sz w:val="20"/>
      </w:rPr>
      <w:instrText xml:space="preserve">PAGE </w:instrText>
    </w:r>
    <w:r>
      <w:rPr>
        <w:sz w:val="20"/>
      </w:rPr>
      <w:fldChar w:fldCharType="separate"/>
    </w:r>
    <w:r>
      <w:rPr>
        <w:sz w:val="20"/>
      </w:rPr>
      <w:t xml:space="preserve"> </w:t>
    </w:r>
    <w:r>
      <w:rPr>
        <w:sz w:val="20"/>
      </w:rPr>
      <w:fldChar w:fldCharType="end"/>
    </w:r>
  </w:p>
  <w:p w14:paraId="0A000000">
    <w:pPr>
      <w:pStyle w:val="Style_1"/>
    </w:pP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num w:numId="1">
    <w:abstractNumId w:val="0"/>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Calibri" w:hAnsi="Calibri"/>
        <w:color w:val="000000"/>
        <w:spacing w:val="0"/>
        <w:sz w:val="20"/>
      </w:rPr>
    </w:rPrDefault>
    <w:pPrDefault>
      <w:pPr>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8" w:type="paragraph">
    <w:name w:val="Normal"/>
    <w:link w:val="Style_8_ch"/>
    <w:uiPriority w:val="0"/>
    <w:qFormat/>
    <w:rPr>
      <w:rFonts w:ascii="Times New Roman" w:hAnsi="Times New Roman"/>
      <w:sz w:val="28"/>
    </w:rPr>
  </w:style>
  <w:style w:default="1" w:styleId="Style_8_ch" w:type="character">
    <w:name w:val="Normal"/>
    <w:link w:val="Style_8"/>
    <w:rPr>
      <w:rFonts w:ascii="Times New Roman" w:hAnsi="Times New Roman"/>
      <w:sz w:val="28"/>
    </w:rPr>
  </w:style>
  <w:style w:styleId="Style_9" w:type="paragraph">
    <w:name w:val="toc 2"/>
    <w:next w:val="Style_8"/>
    <w:link w:val="Style_9_ch"/>
    <w:uiPriority w:val="39"/>
    <w:pPr>
      <w:ind w:firstLine="0" w:left="200"/>
      <w:jc w:val="left"/>
    </w:pPr>
    <w:rPr>
      <w:rFonts w:ascii="XO Thames" w:hAnsi="XO Thames"/>
      <w:sz w:val="28"/>
    </w:rPr>
  </w:style>
  <w:style w:styleId="Style_9_ch" w:type="character">
    <w:name w:val="toc 2"/>
    <w:link w:val="Style_9"/>
    <w:rPr>
      <w:rFonts w:ascii="XO Thames" w:hAnsi="XO Thames"/>
      <w:sz w:val="28"/>
    </w:rPr>
  </w:style>
  <w:style w:styleId="Style_2" w:type="paragraph">
    <w:name w:val="ConsNormal"/>
    <w:link w:val="Style_2_ch"/>
    <w:pPr>
      <w:widowControl w:val="0"/>
      <w:ind w:firstLine="720" w:right="19772"/>
    </w:pPr>
    <w:rPr>
      <w:rFonts w:ascii="Arial" w:hAnsi="Arial"/>
    </w:rPr>
  </w:style>
  <w:style w:styleId="Style_2_ch" w:type="character">
    <w:name w:val="ConsNormal"/>
    <w:link w:val="Style_2"/>
    <w:rPr>
      <w:rFonts w:ascii="Arial" w:hAnsi="Arial"/>
    </w:rPr>
  </w:style>
  <w:style w:styleId="Style_10" w:type="paragraph">
    <w:name w:val="toc 4"/>
    <w:next w:val="Style_8"/>
    <w:link w:val="Style_10_ch"/>
    <w:uiPriority w:val="39"/>
    <w:pPr>
      <w:ind w:firstLine="0" w:left="600"/>
      <w:jc w:val="left"/>
    </w:pPr>
    <w:rPr>
      <w:rFonts w:ascii="XO Thames" w:hAnsi="XO Thames"/>
      <w:sz w:val="28"/>
    </w:rPr>
  </w:style>
  <w:style w:styleId="Style_10_ch" w:type="character">
    <w:name w:val="toc 4"/>
    <w:link w:val="Style_10"/>
    <w:rPr>
      <w:rFonts w:ascii="XO Thames" w:hAnsi="XO Thames"/>
      <w:sz w:val="28"/>
    </w:rPr>
  </w:style>
  <w:style w:styleId="Style_11" w:type="paragraph">
    <w:name w:val="toc 6"/>
    <w:next w:val="Style_8"/>
    <w:link w:val="Style_11_ch"/>
    <w:uiPriority w:val="39"/>
    <w:pPr>
      <w:ind w:firstLine="0" w:left="1000"/>
      <w:jc w:val="left"/>
    </w:pPr>
    <w:rPr>
      <w:rFonts w:ascii="XO Thames" w:hAnsi="XO Thames"/>
      <w:sz w:val="28"/>
    </w:rPr>
  </w:style>
  <w:style w:styleId="Style_11_ch" w:type="character">
    <w:name w:val="toc 6"/>
    <w:link w:val="Style_11"/>
    <w:rPr>
      <w:rFonts w:ascii="XO Thames" w:hAnsi="XO Thames"/>
      <w:sz w:val="28"/>
    </w:rPr>
  </w:style>
  <w:style w:styleId="Style_12" w:type="paragraph">
    <w:name w:val="toc 7"/>
    <w:next w:val="Style_8"/>
    <w:link w:val="Style_12_ch"/>
    <w:uiPriority w:val="39"/>
    <w:pPr>
      <w:ind w:firstLine="0" w:left="1200"/>
      <w:jc w:val="left"/>
    </w:pPr>
    <w:rPr>
      <w:rFonts w:ascii="XO Thames" w:hAnsi="XO Thames"/>
      <w:sz w:val="28"/>
    </w:rPr>
  </w:style>
  <w:style w:styleId="Style_12_ch" w:type="character">
    <w:name w:val="toc 7"/>
    <w:link w:val="Style_12"/>
    <w:rPr>
      <w:rFonts w:ascii="XO Thames" w:hAnsi="XO Thames"/>
      <w:sz w:val="28"/>
    </w:rPr>
  </w:style>
  <w:style w:styleId="Style_13" w:type="paragraph">
    <w:name w:val="Endnote"/>
    <w:link w:val="Style_13_ch"/>
    <w:pPr>
      <w:ind w:firstLine="851" w:left="0"/>
      <w:jc w:val="both"/>
    </w:pPr>
    <w:rPr>
      <w:rFonts w:ascii="XO Thames" w:hAnsi="XO Thames"/>
      <w:sz w:val="22"/>
    </w:rPr>
  </w:style>
  <w:style w:styleId="Style_13_ch" w:type="character">
    <w:name w:val="Endnote"/>
    <w:link w:val="Style_13"/>
    <w:rPr>
      <w:rFonts w:ascii="XO Thames" w:hAnsi="XO Thames"/>
      <w:sz w:val="22"/>
    </w:rPr>
  </w:style>
  <w:style w:styleId="Style_14" w:type="paragraph">
    <w:name w:val="heading 3"/>
    <w:basedOn w:val="Style_8"/>
    <w:next w:val="Style_8"/>
    <w:link w:val="Style_14_ch"/>
    <w:uiPriority w:val="9"/>
    <w:qFormat/>
    <w:pPr>
      <w:keepNext w:val="1"/>
      <w:spacing w:after="60" w:before="240"/>
      <w:ind/>
      <w:outlineLvl w:val="2"/>
    </w:pPr>
    <w:rPr>
      <w:rFonts w:ascii="Cambria" w:hAnsi="Cambria"/>
      <w:b w:val="1"/>
      <w:sz w:val="26"/>
    </w:rPr>
  </w:style>
  <w:style w:styleId="Style_14_ch" w:type="character">
    <w:name w:val="heading 3"/>
    <w:basedOn w:val="Style_8_ch"/>
    <w:link w:val="Style_14"/>
    <w:rPr>
      <w:rFonts w:ascii="Cambria" w:hAnsi="Cambria"/>
      <w:b w:val="1"/>
      <w:sz w:val="26"/>
    </w:rPr>
  </w:style>
  <w:style w:styleId="Style_15" w:type="paragraph">
    <w:name w:val="FollowedHyperlink"/>
    <w:link w:val="Style_15_ch"/>
    <w:rPr>
      <w:color w:val="954F72"/>
      <w:u w:val="single"/>
    </w:rPr>
  </w:style>
  <w:style w:styleId="Style_15_ch" w:type="character">
    <w:name w:val="FollowedHyperlink"/>
    <w:link w:val="Style_15"/>
    <w:rPr>
      <w:color w:val="954F72"/>
      <w:u w:val="single"/>
    </w:rPr>
  </w:style>
  <w:style w:styleId="Style_16" w:type="paragraph">
    <w:name w:val="footer"/>
    <w:basedOn w:val="Style_8"/>
    <w:link w:val="Style_16_ch"/>
    <w:pPr>
      <w:tabs>
        <w:tab w:leader="none" w:pos="4677" w:val="center"/>
        <w:tab w:leader="none" w:pos="9355" w:val="right"/>
      </w:tabs>
      <w:ind/>
    </w:pPr>
  </w:style>
  <w:style w:styleId="Style_16_ch" w:type="character">
    <w:name w:val="footer"/>
    <w:basedOn w:val="Style_8_ch"/>
    <w:link w:val="Style_16"/>
  </w:style>
  <w:style w:styleId="Style_17" w:type="paragraph">
    <w:name w:val="Цветовое выделение"/>
    <w:link w:val="Style_17_ch"/>
    <w:rPr>
      <w:b w:val="1"/>
      <w:color w:val="26282F"/>
    </w:rPr>
  </w:style>
  <w:style w:styleId="Style_17_ch" w:type="character">
    <w:name w:val="Цветовое выделение"/>
    <w:link w:val="Style_17"/>
    <w:rPr>
      <w:b w:val="1"/>
      <w:color w:val="26282F"/>
    </w:rPr>
  </w:style>
  <w:style w:styleId="Style_5" w:type="paragraph">
    <w:name w:val="List Paragraph"/>
    <w:basedOn w:val="Style_8"/>
    <w:link w:val="Style_5_ch"/>
    <w:pPr>
      <w:spacing w:after="200" w:line="276" w:lineRule="auto"/>
      <w:ind w:left="720"/>
      <w:contextualSpacing w:val="1"/>
    </w:pPr>
    <w:rPr>
      <w:rFonts w:ascii="Calibri" w:hAnsi="Calibri"/>
      <w:sz w:val="22"/>
    </w:rPr>
  </w:style>
  <w:style w:styleId="Style_5_ch" w:type="character">
    <w:name w:val="List Paragraph"/>
    <w:basedOn w:val="Style_8_ch"/>
    <w:link w:val="Style_5"/>
    <w:rPr>
      <w:rFonts w:ascii="Calibri" w:hAnsi="Calibri"/>
      <w:sz w:val="22"/>
    </w:rPr>
  </w:style>
  <w:style w:styleId="Style_18" w:type="paragraph">
    <w:name w:val="Strong"/>
    <w:link w:val="Style_18_ch"/>
    <w:rPr>
      <w:b w:val="1"/>
    </w:rPr>
  </w:style>
  <w:style w:styleId="Style_18_ch" w:type="character">
    <w:name w:val="Strong"/>
    <w:link w:val="Style_18"/>
    <w:rPr>
      <w:b w:val="1"/>
    </w:rPr>
  </w:style>
  <w:style w:styleId="Style_19" w:type="paragraph">
    <w:name w:val="Неразрешенное упоминание1"/>
    <w:link w:val="Style_19_ch"/>
    <w:rPr>
      <w:color w:val="808080"/>
      <w:shd w:fill="E6E6E6" w:val="clear"/>
    </w:rPr>
  </w:style>
  <w:style w:styleId="Style_19_ch" w:type="character">
    <w:name w:val="Неразрешенное упоминание1"/>
    <w:link w:val="Style_19"/>
    <w:rPr>
      <w:color w:val="808080"/>
      <w:shd w:fill="E6E6E6" w:val="clear"/>
    </w:rPr>
  </w:style>
  <w:style w:styleId="Style_20" w:type="paragraph">
    <w:name w:val="Placeholder Text"/>
    <w:basedOn w:val="Style_21"/>
    <w:link w:val="Style_20_ch"/>
    <w:rPr>
      <w:color w:val="808080"/>
    </w:rPr>
  </w:style>
  <w:style w:styleId="Style_20_ch" w:type="character">
    <w:name w:val="Placeholder Text"/>
    <w:basedOn w:val="Style_21_ch"/>
    <w:link w:val="Style_20"/>
    <w:rPr>
      <w:color w:val="808080"/>
    </w:rPr>
  </w:style>
  <w:style w:styleId="Style_22" w:type="paragraph">
    <w:name w:val="toc 3"/>
    <w:next w:val="Style_8"/>
    <w:link w:val="Style_22_ch"/>
    <w:uiPriority w:val="39"/>
    <w:pPr>
      <w:ind w:firstLine="0" w:left="400"/>
      <w:jc w:val="left"/>
    </w:pPr>
    <w:rPr>
      <w:rFonts w:ascii="XO Thames" w:hAnsi="XO Thames"/>
      <w:sz w:val="28"/>
    </w:rPr>
  </w:style>
  <w:style w:styleId="Style_22_ch" w:type="character">
    <w:name w:val="toc 3"/>
    <w:link w:val="Style_22"/>
    <w:rPr>
      <w:rFonts w:ascii="XO Thames" w:hAnsi="XO Thames"/>
      <w:sz w:val="28"/>
    </w:rPr>
  </w:style>
  <w:style w:styleId="Style_21" w:type="paragraph">
    <w:name w:val="Default Paragraph Font"/>
    <w:link w:val="Style_21_ch"/>
  </w:style>
  <w:style w:styleId="Style_21_ch" w:type="character">
    <w:name w:val="Default Paragraph Font"/>
    <w:link w:val="Style_21"/>
  </w:style>
  <w:style w:styleId="Style_3" w:type="paragraph">
    <w:name w:val="ConsPlusNormal"/>
    <w:link w:val="Style_3_ch"/>
    <w:pPr>
      <w:widowControl w:val="0"/>
      <w:ind/>
    </w:pPr>
    <w:rPr>
      <w:sz w:val="22"/>
    </w:rPr>
  </w:style>
  <w:style w:styleId="Style_3_ch" w:type="character">
    <w:name w:val="ConsPlusNormal"/>
    <w:link w:val="Style_3"/>
    <w:rPr>
      <w:sz w:val="22"/>
    </w:rPr>
  </w:style>
  <w:style w:styleId="Style_23" w:type="paragraph">
    <w:name w:val="Normal (Web)"/>
    <w:basedOn w:val="Style_8"/>
    <w:link w:val="Style_23_ch"/>
    <w:rPr>
      <w:sz w:val="24"/>
    </w:rPr>
  </w:style>
  <w:style w:styleId="Style_23_ch" w:type="character">
    <w:name w:val="Normal (Web)"/>
    <w:basedOn w:val="Style_8_ch"/>
    <w:link w:val="Style_23"/>
    <w:rPr>
      <w:sz w:val="24"/>
    </w:rPr>
  </w:style>
  <w:style w:styleId="Style_24" w:type="paragraph">
    <w:name w:val="heading 5"/>
    <w:next w:val="Style_8"/>
    <w:link w:val="Style_24_ch"/>
    <w:uiPriority w:val="9"/>
    <w:qFormat/>
    <w:pPr>
      <w:spacing w:after="120" w:before="120"/>
      <w:ind/>
      <w:jc w:val="both"/>
      <w:outlineLvl w:val="4"/>
    </w:pPr>
    <w:rPr>
      <w:rFonts w:ascii="XO Thames" w:hAnsi="XO Thames"/>
      <w:b w:val="1"/>
      <w:sz w:val="22"/>
    </w:rPr>
  </w:style>
  <w:style w:styleId="Style_24_ch" w:type="character">
    <w:name w:val="heading 5"/>
    <w:link w:val="Style_24"/>
    <w:rPr>
      <w:rFonts w:ascii="XO Thames" w:hAnsi="XO Thames"/>
      <w:b w:val="1"/>
      <w:sz w:val="22"/>
    </w:rPr>
  </w:style>
  <w:style w:styleId="Style_25" w:type="paragraph">
    <w:name w:val="heading 1"/>
    <w:basedOn w:val="Style_8"/>
    <w:next w:val="Style_8"/>
    <w:link w:val="Style_25_ch"/>
    <w:uiPriority w:val="9"/>
    <w:qFormat/>
    <w:pPr>
      <w:keepNext w:val="1"/>
      <w:spacing w:before="1080" w:line="480" w:lineRule="auto"/>
      <w:ind/>
      <w:outlineLvl w:val="0"/>
    </w:pPr>
    <w:rPr>
      <w:sz w:val="24"/>
    </w:rPr>
  </w:style>
  <w:style w:styleId="Style_25_ch" w:type="character">
    <w:name w:val="heading 1"/>
    <w:basedOn w:val="Style_8_ch"/>
    <w:link w:val="Style_25"/>
    <w:rPr>
      <w:sz w:val="24"/>
    </w:rPr>
  </w:style>
  <w:style w:styleId="Style_7" w:type="paragraph">
    <w:name w:val="ConsPlusNonformat"/>
    <w:link w:val="Style_7_ch"/>
    <w:pPr>
      <w:widowControl w:val="0"/>
      <w:ind/>
    </w:pPr>
    <w:rPr>
      <w:rFonts w:ascii="Courier New" w:hAnsi="Courier New"/>
    </w:rPr>
  </w:style>
  <w:style w:styleId="Style_7_ch" w:type="character">
    <w:name w:val="ConsPlusNonformat"/>
    <w:link w:val="Style_7"/>
    <w:rPr>
      <w:rFonts w:ascii="Courier New" w:hAnsi="Courier New"/>
    </w:rPr>
  </w:style>
  <w:style w:styleId="Style_1" w:type="paragraph">
    <w:name w:val="header"/>
    <w:basedOn w:val="Style_8"/>
    <w:link w:val="Style_1_ch"/>
    <w:pPr>
      <w:tabs>
        <w:tab w:leader="none" w:pos="4677" w:val="center"/>
        <w:tab w:leader="none" w:pos="9355" w:val="right"/>
      </w:tabs>
      <w:ind/>
    </w:pPr>
  </w:style>
  <w:style w:styleId="Style_1_ch" w:type="character">
    <w:name w:val="header"/>
    <w:basedOn w:val="Style_8_ch"/>
    <w:link w:val="Style_1"/>
  </w:style>
  <w:style w:styleId="Style_26" w:type="paragraph">
    <w:name w:val="Hyperlink"/>
    <w:link w:val="Style_26_ch"/>
    <w:rPr>
      <w:color w:val="0563C1"/>
      <w:u w:val="single"/>
    </w:rPr>
  </w:style>
  <w:style w:styleId="Style_26_ch" w:type="character">
    <w:name w:val="Hyperlink"/>
    <w:link w:val="Style_26"/>
    <w:rPr>
      <w:color w:val="0563C1"/>
      <w:u w:val="single"/>
    </w:rPr>
  </w:style>
  <w:style w:styleId="Style_27" w:type="paragraph">
    <w:name w:val="Footnote"/>
    <w:link w:val="Style_27_ch"/>
    <w:pPr>
      <w:ind w:firstLine="851" w:left="0"/>
      <w:jc w:val="both"/>
    </w:pPr>
    <w:rPr>
      <w:rFonts w:ascii="XO Thames" w:hAnsi="XO Thames"/>
      <w:sz w:val="22"/>
    </w:rPr>
  </w:style>
  <w:style w:styleId="Style_27_ch" w:type="character">
    <w:name w:val="Footnote"/>
    <w:link w:val="Style_27"/>
    <w:rPr>
      <w:rFonts w:ascii="XO Thames" w:hAnsi="XO Thames"/>
      <w:sz w:val="22"/>
    </w:rPr>
  </w:style>
  <w:style w:styleId="Style_28" w:type="paragraph">
    <w:name w:val="1"/>
    <w:basedOn w:val="Style_8"/>
    <w:link w:val="Style_28_ch"/>
    <w:pPr>
      <w:spacing w:afterAutospacing="on" w:beforeAutospacing="on"/>
      <w:ind/>
    </w:pPr>
    <w:rPr>
      <w:rFonts w:ascii="Tahoma" w:hAnsi="Tahoma"/>
      <w:sz w:val="20"/>
    </w:rPr>
  </w:style>
  <w:style w:styleId="Style_28_ch" w:type="character">
    <w:name w:val="1"/>
    <w:basedOn w:val="Style_8_ch"/>
    <w:link w:val="Style_28"/>
    <w:rPr>
      <w:rFonts w:ascii="Tahoma" w:hAnsi="Tahoma"/>
      <w:sz w:val="20"/>
    </w:rPr>
  </w:style>
  <w:style w:styleId="Style_29" w:type="paragraph">
    <w:name w:val="toc 1"/>
    <w:next w:val="Style_8"/>
    <w:link w:val="Style_29_ch"/>
    <w:uiPriority w:val="39"/>
    <w:pPr>
      <w:ind w:firstLine="0" w:left="0"/>
      <w:jc w:val="left"/>
    </w:pPr>
    <w:rPr>
      <w:rFonts w:ascii="XO Thames" w:hAnsi="XO Thames"/>
      <w:b w:val="1"/>
      <w:sz w:val="28"/>
    </w:rPr>
  </w:style>
  <w:style w:styleId="Style_29_ch" w:type="character">
    <w:name w:val="toc 1"/>
    <w:link w:val="Style_29"/>
    <w:rPr>
      <w:rFonts w:ascii="XO Thames" w:hAnsi="XO Thames"/>
      <w:b w:val="1"/>
      <w:sz w:val="28"/>
    </w:rPr>
  </w:style>
  <w:style w:styleId="Style_30" w:type="paragraph">
    <w:name w:val="Header and Footer"/>
    <w:link w:val="Style_30_ch"/>
    <w:pPr>
      <w:spacing w:line="240" w:lineRule="auto"/>
      <w:ind/>
      <w:jc w:val="both"/>
    </w:pPr>
    <w:rPr>
      <w:rFonts w:ascii="XO Thames" w:hAnsi="XO Thames"/>
      <w:sz w:val="28"/>
    </w:rPr>
  </w:style>
  <w:style w:styleId="Style_30_ch" w:type="character">
    <w:name w:val="Header and Footer"/>
    <w:link w:val="Style_30"/>
    <w:rPr>
      <w:rFonts w:ascii="XO Thames" w:hAnsi="XO Thames"/>
      <w:sz w:val="28"/>
    </w:rPr>
  </w:style>
  <w:style w:styleId="Style_31" w:type="paragraph">
    <w:name w:val="toc 9"/>
    <w:next w:val="Style_8"/>
    <w:link w:val="Style_31_ch"/>
    <w:uiPriority w:val="39"/>
    <w:pPr>
      <w:ind w:firstLine="0" w:left="1600"/>
      <w:jc w:val="left"/>
    </w:pPr>
    <w:rPr>
      <w:rFonts w:ascii="XO Thames" w:hAnsi="XO Thames"/>
      <w:sz w:val="28"/>
    </w:rPr>
  </w:style>
  <w:style w:styleId="Style_31_ch" w:type="character">
    <w:name w:val="toc 9"/>
    <w:link w:val="Style_31"/>
    <w:rPr>
      <w:rFonts w:ascii="XO Thames" w:hAnsi="XO Thames"/>
      <w:sz w:val="28"/>
    </w:rPr>
  </w:style>
  <w:style w:styleId="Style_32" w:type="paragraph">
    <w:name w:val="toc 8"/>
    <w:next w:val="Style_8"/>
    <w:link w:val="Style_32_ch"/>
    <w:uiPriority w:val="39"/>
    <w:pPr>
      <w:ind w:firstLine="0" w:left="1400"/>
      <w:jc w:val="left"/>
    </w:pPr>
    <w:rPr>
      <w:rFonts w:ascii="XO Thames" w:hAnsi="XO Thames"/>
      <w:sz w:val="28"/>
    </w:rPr>
  </w:style>
  <w:style w:styleId="Style_32_ch" w:type="character">
    <w:name w:val="toc 8"/>
    <w:link w:val="Style_32"/>
    <w:rPr>
      <w:rFonts w:ascii="XO Thames" w:hAnsi="XO Thames"/>
      <w:sz w:val="28"/>
    </w:rPr>
  </w:style>
  <w:style w:styleId="Style_33" w:type="paragraph">
    <w:name w:val="toc 5"/>
    <w:next w:val="Style_8"/>
    <w:link w:val="Style_33_ch"/>
    <w:uiPriority w:val="39"/>
    <w:pPr>
      <w:ind w:firstLine="0" w:left="800"/>
      <w:jc w:val="left"/>
    </w:pPr>
    <w:rPr>
      <w:rFonts w:ascii="XO Thames" w:hAnsi="XO Thames"/>
      <w:sz w:val="28"/>
    </w:rPr>
  </w:style>
  <w:style w:styleId="Style_33_ch" w:type="character">
    <w:name w:val="toc 5"/>
    <w:link w:val="Style_33"/>
    <w:rPr>
      <w:rFonts w:ascii="XO Thames" w:hAnsi="XO Thames"/>
      <w:sz w:val="28"/>
    </w:rPr>
  </w:style>
  <w:style w:styleId="Style_6" w:type="paragraph">
    <w:name w:val="Обычный (Интернет)1"/>
    <w:basedOn w:val="Style_8"/>
    <w:link w:val="Style_6_ch"/>
    <w:rPr>
      <w:sz w:val="24"/>
    </w:rPr>
  </w:style>
  <w:style w:styleId="Style_6_ch" w:type="character">
    <w:name w:val="Обычный (Интернет)1"/>
    <w:basedOn w:val="Style_8_ch"/>
    <w:link w:val="Style_6"/>
    <w:rPr>
      <w:sz w:val="24"/>
    </w:rPr>
  </w:style>
  <w:style w:styleId="Style_34" w:type="paragraph">
    <w:name w:val="Subtitle"/>
    <w:next w:val="Style_8"/>
    <w:link w:val="Style_34_ch"/>
    <w:uiPriority w:val="11"/>
    <w:qFormat/>
    <w:pPr>
      <w:ind/>
      <w:jc w:val="both"/>
    </w:pPr>
    <w:rPr>
      <w:rFonts w:ascii="XO Thames" w:hAnsi="XO Thames"/>
      <w:i w:val="1"/>
      <w:sz w:val="24"/>
    </w:rPr>
  </w:style>
  <w:style w:styleId="Style_34_ch" w:type="character">
    <w:name w:val="Subtitle"/>
    <w:link w:val="Style_34"/>
    <w:rPr>
      <w:rFonts w:ascii="XO Thames" w:hAnsi="XO Thames"/>
      <w:i w:val="1"/>
      <w:sz w:val="24"/>
    </w:rPr>
  </w:style>
  <w:style w:styleId="Style_35" w:type="paragraph">
    <w:name w:val="Balloon Text"/>
    <w:basedOn w:val="Style_8"/>
    <w:link w:val="Style_35_ch"/>
    <w:rPr>
      <w:rFonts w:ascii="Segoe UI" w:hAnsi="Segoe UI"/>
      <w:sz w:val="18"/>
    </w:rPr>
  </w:style>
  <w:style w:styleId="Style_35_ch" w:type="character">
    <w:name w:val="Balloon Text"/>
    <w:basedOn w:val="Style_8_ch"/>
    <w:link w:val="Style_35"/>
    <w:rPr>
      <w:rFonts w:ascii="Segoe UI" w:hAnsi="Segoe UI"/>
      <w:sz w:val="18"/>
    </w:rPr>
  </w:style>
  <w:style w:styleId="Style_36" w:type="paragraph">
    <w:name w:val="Title"/>
    <w:next w:val="Style_8"/>
    <w:link w:val="Style_36_ch"/>
    <w:uiPriority w:val="10"/>
    <w:qFormat/>
    <w:pPr>
      <w:spacing w:after="567" w:before="567"/>
      <w:ind/>
      <w:jc w:val="center"/>
    </w:pPr>
    <w:rPr>
      <w:rFonts w:ascii="XO Thames" w:hAnsi="XO Thames"/>
      <w:b w:val="1"/>
      <w:caps w:val="1"/>
      <w:sz w:val="40"/>
    </w:rPr>
  </w:style>
  <w:style w:styleId="Style_36_ch" w:type="character">
    <w:name w:val="Title"/>
    <w:link w:val="Style_36"/>
    <w:rPr>
      <w:rFonts w:ascii="XO Thames" w:hAnsi="XO Thames"/>
      <w:b w:val="1"/>
      <w:caps w:val="1"/>
      <w:sz w:val="40"/>
    </w:rPr>
  </w:style>
  <w:style w:styleId="Style_37" w:type="paragraph">
    <w:name w:val="heading 4"/>
    <w:next w:val="Style_8"/>
    <w:link w:val="Style_37_ch"/>
    <w:uiPriority w:val="9"/>
    <w:qFormat/>
    <w:pPr>
      <w:spacing w:after="120" w:before="120"/>
      <w:ind/>
      <w:jc w:val="both"/>
      <w:outlineLvl w:val="3"/>
    </w:pPr>
    <w:rPr>
      <w:rFonts w:ascii="XO Thames" w:hAnsi="XO Thames"/>
      <w:b w:val="1"/>
      <w:sz w:val="24"/>
    </w:rPr>
  </w:style>
  <w:style w:styleId="Style_37_ch" w:type="character">
    <w:name w:val="heading 4"/>
    <w:link w:val="Style_37"/>
    <w:rPr>
      <w:rFonts w:ascii="XO Thames" w:hAnsi="XO Thames"/>
      <w:b w:val="1"/>
      <w:sz w:val="24"/>
    </w:rPr>
  </w:style>
  <w:style w:styleId="Style_38" w:type="paragraph">
    <w:name w:val="Знак1"/>
    <w:basedOn w:val="Style_8"/>
    <w:link w:val="Style_38_ch"/>
    <w:pPr>
      <w:spacing w:afterAutospacing="on" w:beforeAutospacing="on"/>
      <w:ind/>
    </w:pPr>
    <w:rPr>
      <w:rFonts w:ascii="Tahoma" w:hAnsi="Tahoma"/>
      <w:sz w:val="20"/>
    </w:rPr>
  </w:style>
  <w:style w:styleId="Style_38_ch" w:type="character">
    <w:name w:val="Знак1"/>
    <w:basedOn w:val="Style_8_ch"/>
    <w:link w:val="Style_38"/>
    <w:rPr>
      <w:rFonts w:ascii="Tahoma" w:hAnsi="Tahoma"/>
      <w:sz w:val="20"/>
    </w:rPr>
  </w:style>
  <w:style w:styleId="Style_39" w:type="paragraph">
    <w:name w:val="heading 2"/>
    <w:next w:val="Style_8"/>
    <w:link w:val="Style_39_ch"/>
    <w:uiPriority w:val="9"/>
    <w:qFormat/>
    <w:pPr>
      <w:spacing w:after="120" w:before="120"/>
      <w:ind/>
      <w:jc w:val="both"/>
      <w:outlineLvl w:val="1"/>
    </w:pPr>
    <w:rPr>
      <w:rFonts w:ascii="XO Thames" w:hAnsi="XO Thames"/>
      <w:b w:val="1"/>
      <w:sz w:val="28"/>
    </w:rPr>
  </w:style>
  <w:style w:styleId="Style_39_ch" w:type="character">
    <w:name w:val="heading 2"/>
    <w:link w:val="Style_39"/>
    <w:rPr>
      <w:rFonts w:ascii="XO Thames" w:hAnsi="XO Thames"/>
      <w:b w:val="1"/>
      <w:sz w:val="28"/>
    </w:rPr>
  </w:style>
  <w:style w:styleId="Style_40" w:type="table">
    <w:name w:val="Table Grid"/>
    <w:basedOn w:val="Style_4"/>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default="1" w:styleId="Style_4"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media/1.png" Type="http://schemas.openxmlformats.org/officeDocument/2006/relationships/image"/>
  <Relationship Id="rId1" Target="header1.xml" Type="http://schemas.openxmlformats.org/officeDocument/2006/relationships/header"/>
  <Relationship Id="rId13" Target="numbering.xml" Type="http://schemas.openxmlformats.org/officeDocument/2006/relationships/numbering"/>
  <Relationship Id="rId12" Target="theme/theme1.xml" Type="http://schemas.openxmlformats.org/officeDocument/2006/relationships/theme"/>
  <Relationship Id="rId10" Target="stylesWithEffects.xml" Type="http://schemas.microsoft.com/office/2007/relationships/stylesWithEffects"/>
  <Relationship Id="rId2" Target="header2.xml" Type="http://schemas.openxmlformats.org/officeDocument/2006/relationships/header"/>
  <Relationship Id="rId3" Target="header3.xml" Type="http://schemas.openxmlformats.org/officeDocument/2006/relationships/header"/>
  <Relationship Id="rId8" Target="settings.xml" Type="http://schemas.openxmlformats.org/officeDocument/2006/relationships/settings"/>
  <Relationship Id="rId4" Target="header4.xml" Type="http://schemas.openxmlformats.org/officeDocument/2006/relationships/header"/>
  <Relationship Id="rId11" Target="webSettings.xml" Type="http://schemas.openxmlformats.org/officeDocument/2006/relationships/webSettings"/>
  <Relationship Id="rId9" Target="styles.xml" Type="http://schemas.openxmlformats.org/officeDocument/2006/relationships/styles"/>
  <Relationship Id="rId7" Target="fontTable.xml" Type="http://schemas.openxmlformats.org/officeDocument/2006/relationships/fontTable"/>
  <Relationship Id="rId5" Target="header5.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MyOffice-CoreFramework-Windows/34-1238.862.9476.867.1@6a6f965769ddd834e814912714f1fa4bc0274a9d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2025-09-09T10:09:59Z</dcterms:modified>
</cp:coreProperties>
</file>