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Сведения о количестве субъектов МСП  на территории муниципального образования «Город Батайск» и их классификации по видам деятельности </w:t>
      </w:r>
      <w:r>
        <w:rPr>
          <w:rFonts w:eastAsia="Times New Roman" w:cs="Times New Roman" w:ascii="Times New Roman" w:hAnsi="Times New Roman"/>
          <w:sz w:val="26"/>
          <w:szCs w:val="26"/>
        </w:rPr>
        <w:t>01.01.2021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center"/>
        <w:rPr/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6,080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6,098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5,992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5,995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4760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ИП, 1029-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самозанятых)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23300,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21692,0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Style w:val="Style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2020года.</w:t>
        </w:r>
      </w:hyperlink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муниципальном образовании «Город Батайск» на 01.01.2021года количество действующих малых предприятий  (в т.ч. микропредприятия) составило — 1490, средних- 15.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LibreOffice/6.3.4.2$Windows_X86_64 LibreOffice_project/60da17e045e08f1793c57c00ba83cdfce946d0aa</Application>
  <Pages>3</Pages>
  <Words>546</Words>
  <Characters>3913</Characters>
  <CharactersWithSpaces>4371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2022-02-01T10:59:48Z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